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footer23.xml.rels" ContentType="application/vnd.openxmlformats-package.relationships+xml"/>
  <Override PartName="/word/_rels/footer36.xml.rels" ContentType="application/vnd.openxmlformats-package.relationships+xml"/>
  <Override PartName="/word/_rels/footer20.xml.rels" ContentType="application/vnd.openxmlformats-package.relationships+xml"/>
  <Override PartName="/word/_rels/footer18.xml.rels" ContentType="application/vnd.openxmlformats-package.relationships+xml"/>
  <Override PartName="/word/_rels/footer17.xml.rels" ContentType="application/vnd.openxmlformats-package.relationships+xml"/>
  <Override PartName="/word/_rels/document.xml.rels" ContentType="application/vnd.openxmlformats-package.relationships+xml"/>
  <Override PartName="/word/_rels/footer4.xml.rels" ContentType="application/vnd.openxmlformats-package.relationships+xml"/>
  <Override PartName="/word/_rels/footer21.xml.rels" ContentType="application/vnd.openxmlformats-package.relationships+xml"/>
  <Override PartName="/word/_rels/footer5.xml.rels" ContentType="application/vnd.openxmlformats-package.relationships+xml"/>
  <Override PartName="/word/_rels/footer30.xml.rels" ContentType="application/vnd.openxmlformats-package.relationships+xml"/>
  <Override PartName="/word/_rels/footer6.xml.rels" ContentType="application/vnd.openxmlformats-package.relationships+xml"/>
  <Override PartName="/word/_rels/footer35.xml.rels" ContentType="application/vnd.openxmlformats-package.relationships+xml"/>
  <Override PartName="/word/_rels/footer24.xml.rels" ContentType="application/vnd.openxmlformats-package.relationships+xml"/>
  <Override PartName="/word/_rels/footer32.xml.rels" ContentType="application/vnd.openxmlformats-package.relationships+xml"/>
  <Override PartName="/word/_rels/footer8.xml.rels" ContentType="application/vnd.openxmlformats-package.relationships+xml"/>
  <Override PartName="/word/_rels/footer12.xml.rels" ContentType="application/vnd.openxmlformats-package.relationships+xml"/>
  <Override PartName="/word/_rels/footer15.xml.rels" ContentType="application/vnd.openxmlformats-package.relationships+xml"/>
  <Override PartName="/word/_rels/footer14.xml.rels" ContentType="application/vnd.openxmlformats-package.relationships+xml"/>
  <Override PartName="/word/_rels/footer11.xml.rels" ContentType="application/vnd.openxmlformats-package.relationships+xml"/>
  <Override PartName="/word/_rels/footer27.xml.rels" ContentType="application/vnd.openxmlformats-package.relationships+xml"/>
  <Override PartName="/word/_rels/footer26.xml.rels" ContentType="application/vnd.openxmlformats-package.relationships+xml"/>
  <Override PartName="/word/_rels/footer29.xml.rels" ContentType="application/vnd.openxmlformats-package.relationships+xml"/>
  <Override PartName="/word/_rels/footer33.xml.rels" ContentType="application/vnd.openxmlformats-package.relationships+xml"/>
  <Override PartName="/word/_rels/footer9.xml.rels" ContentType="application/vnd.openxmlformats-package.relationships+xml"/>
  <Override PartName="/word/footer3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34.xml" ContentType="application/vnd.openxmlformats-officedocument.wordprocessingml.footer+xml"/>
  <Override PartName="/word/footer5.xml" ContentType="application/vnd.openxmlformats-officedocument.wordprocessingml.footer+xml"/>
  <Override PartName="/word/media/image2.png" ContentType="image/png"/>
  <Override PartName="/word/media/image1.png" ContentType="image/png"/>
  <Override PartName="/word/media/image3.png" ContentType="image/png"/>
  <Override PartName="/word/media/image4.png" ContentType="image/png"/>
  <Override PartName="/word/media/image6.png" ContentType="image/png"/>
  <Override PartName="/word/media/image5.png" ContentType="image/png"/>
  <Override PartName="/word/header13.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19.xml" ContentType="application/vnd.openxmlformats-officedocument.wordprocessingml.header+xml"/>
  <Override PartName="/word/header6.xml" ContentType="application/vnd.openxmlformats-officedocument.wordprocessingml.header+xml"/>
  <Override PartName="/word/header10.xml" ContentType="application/vnd.openxmlformats-officedocument.wordprocessingml.header+xml"/>
  <Override PartName="/word/footer26.xml" ContentType="application/vnd.openxmlformats-officedocument.wordprocessingml.footer+xml"/>
  <Override PartName="/word/header11.xml" ContentType="application/vnd.openxmlformats-officedocument.wordprocessingml.header+xml"/>
  <Override PartName="/word/footer27.xml" ContentType="application/vnd.openxmlformats-officedocument.wordprocessingml.footer+xml"/>
  <Override PartName="/word/numbering.xml" ContentType="application/vnd.openxmlformats-officedocument.wordprocessingml.numbering+xml"/>
  <Override PartName="/word/header21.xml" ContentType="application/vnd.openxmlformats-officedocument.wordprocessingml.header+xml"/>
  <Override PartName="/word/header12.xml" ContentType="application/vnd.openxmlformats-officedocument.wordprocessingml.header+xml"/>
  <Override PartName="/word/footer28.xml" ContentType="application/vnd.openxmlformats-officedocument.wordprocessingml.footer+xml"/>
  <Override PartName="/word/header8.xml" ContentType="application/vnd.openxmlformats-officedocument.wordprocessingml.header+xml"/>
  <Override PartName="/word/header31.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settings.xml" ContentType="application/vnd.openxmlformats-officedocument.wordprocessingml.settings+xml"/>
  <Override PartName="/word/header32.xml" ContentType="application/vnd.openxmlformats-officedocument.wordprocessingml.header+xml"/>
  <Override PartName="/word/header9.xml" ContentType="application/vnd.openxmlformats-officedocument.wordprocessingml.header+xml"/>
  <Override PartName="/word/header14.xml" ContentType="application/vnd.openxmlformats-officedocument.wordprocessingml.header+xml"/>
  <Override PartName="/word/theme/theme1.xml" ContentType="application/vnd.openxmlformats-officedocument.theme+xml"/>
  <Override PartName="/word/footer15.xml" ContentType="application/vnd.openxmlformats-officedocument.wordprocessingml.footer+xml"/>
  <Override PartName="/word/header5.xml" ContentType="application/vnd.openxmlformats-officedocument.wordprocessingml.header+xml"/>
  <Override PartName="/word/footer39.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footer20.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footer12.xml" ContentType="application/vnd.openxmlformats-officedocument.wordprocessingml.footer+xml"/>
  <Override PartName="/word/footer3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11.xml" ContentType="application/vnd.openxmlformats-officedocument.wordprocessingml.footer+xml"/>
  <Override PartName="/word/styles.xml" ContentType="application/vnd.openxmlformats-officedocument.wordprocessingml.styles+xml"/>
  <Override PartName="/word/header39.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38.xml" ContentType="application/vnd.openxmlformats-officedocument.wordprocessingml.footer+xml"/>
  <Override PartName="/word/header4.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15.xml" ContentType="application/vnd.openxmlformats-officedocument.wordprocessingml.header+xml"/>
  <Override PartName="/word/header36.xml" ContentType="application/vnd.openxmlformats-officedocument.wordprocessingml.header+xml"/>
  <Override PartName="/word/footer33.xml" ContentType="application/vnd.openxmlformats-officedocument.wordprocessingml.footer+xml"/>
  <Override PartName="/word/footer4.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16.xml" ContentType="application/vnd.openxmlformats-officedocument.wordprocessingml.header+xml"/>
  <Override PartName="/word/header7.xml" ContentType="application/vnd.openxmlformats-officedocument.wordprocessingml.header+xml"/>
  <Override PartName="/word/header30.xml" ContentType="application/vnd.openxmlformats-officedocument.wordprocessingml.head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7.xml" ContentType="application/vnd.openxmlformats-officedocument.wordprocessingml.footer+xml"/>
  <Override PartName="/word/footer36.xml" ContentType="application/vnd.openxmlformats-officedocument.wordprocessingml.footer+xml"/>
  <Override PartName="/word/header2.xml" ContentType="application/vnd.openxmlformats-officedocument.wordprocessingml.header+xml"/>
  <Override PartName="/word/footer19.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xml" ContentType="application/vnd.openxmlformats-officedocument.wordprocessingml.footer+xml"/>
  <Override PartName="/word/footer30.xml" ContentType="application/vnd.openxmlformats-officedocument.wordprocessingml.footer+xml"/>
  <Override PartName="/word/footer2.xml" ContentType="application/vnd.openxmlformats-officedocument.wordprocessingml.footer+xml"/>
  <Override PartName="/word/footer31.xml" ContentType="application/vnd.openxmlformats-officedocument.wordprocessingml.footer+xml"/>
  <Override PartName="/word/footer3.xml" ContentType="application/vnd.openxmlformats-officedocument.wordprocessingml.footer+xml"/>
  <Override PartName="/word/footer32.xml" ContentType="application/vnd.openxmlformats-officedocument.wordprocessingml.foot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99" w:hanging="0"/>
        <w:rPr>
          <w:rFonts w:ascii="Times New Roman" w:hAnsi="Times New Roman"/>
          <w:sz w:val="20"/>
        </w:rPr>
      </w:pPr>
      <w:r>
        <w:rPr/>
        <w:drawing>
          <wp:inline distT="0" distB="0" distL="0" distR="0">
            <wp:extent cx="4139565" cy="247269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4139565" cy="2472690"/>
                    </a:xfrm>
                    <a:prstGeom prst="rect">
                      <a:avLst/>
                    </a:prstGeom>
                  </pic:spPr>
                </pic:pic>
              </a:graphicData>
            </a:graphic>
          </wp:inline>
        </w:drawing>
      </w:r>
    </w:p>
    <w:p>
      <w:pPr>
        <w:pStyle w:val="BodyText"/>
        <w:rPr>
          <w:rFonts w:ascii="Times New Roman" w:hAnsi="Times New Roman"/>
          <w:sz w:val="72"/>
        </w:rPr>
      </w:pPr>
      <w:r>
        <w:rPr>
          <w:rFonts w:ascii="Times New Roman" w:hAnsi="Times New Roman"/>
          <w:sz w:val="72"/>
        </w:rPr>
      </w:r>
    </w:p>
    <w:p>
      <w:pPr>
        <w:pStyle w:val="BodyText"/>
        <w:spacing w:before="358" w:after="0"/>
        <w:rPr>
          <w:rFonts w:ascii="Times New Roman" w:hAnsi="Times New Roman"/>
          <w:sz w:val="72"/>
        </w:rPr>
      </w:pPr>
      <w:r>
        <w:rPr>
          <w:rFonts w:ascii="Times New Roman" w:hAnsi="Times New Roman"/>
          <w:sz w:val="72"/>
        </w:rPr>
      </w:r>
    </w:p>
    <w:p>
      <w:pPr>
        <w:pStyle w:val="Title"/>
        <w:rPr>
          <w:b w:val="false"/>
          <w:lang w:val="en-GB"/>
        </w:rPr>
      </w:pPr>
      <w:r>
        <w:rPr>
          <w:b w:val="false"/>
          <w:color w:val="C52B2F"/>
          <w:w w:val="90"/>
          <w:sz w:val="75"/>
          <w:lang w:val="en-GB"/>
        </w:rPr>
        <w:t xml:space="preserve">Everyone in their </w:t>
      </w:r>
      <w:r>
        <w:rPr>
          <w:b w:val="false"/>
          <w:color w:val="C52B2F"/>
          <w:spacing w:val="-2"/>
          <w:w w:val="90"/>
          <w:sz w:val="75"/>
          <w:lang w:val="en-GB"/>
        </w:rPr>
        <w:t>place</w:t>
      </w:r>
    </w:p>
    <w:p>
      <w:pPr>
        <w:pStyle w:val="Normal"/>
        <w:spacing w:before="384" w:after="0"/>
        <w:ind w:left="1275" w:hanging="0"/>
        <w:rPr>
          <w:sz w:val="29"/>
          <w:lang w:val="en-GB"/>
        </w:rPr>
      </w:pPr>
      <w:r>
        <w:rPr>
          <w:w w:val="110"/>
          <w:sz w:val="30"/>
          <w:lang w:val="en-GB"/>
        </w:rPr>
        <w:t xml:space="preserve">How to </w:t>
      </w:r>
      <w:r>
        <w:rPr>
          <w:spacing w:val="-4"/>
          <w:w w:val="110"/>
          <w:sz w:val="30"/>
          <w:lang w:val="en-GB"/>
        </w:rPr>
        <w:t xml:space="preserve">get </w:t>
      </w:r>
      <w:r>
        <w:rPr>
          <w:w w:val="110"/>
          <w:sz w:val="30"/>
          <w:lang w:val="en-GB"/>
        </w:rPr>
        <w:t>the right student into the right study</w:t>
      </w:r>
      <w:bookmarkStart w:id="0" w:name="_GoBack"/>
      <w:bookmarkEnd w:id="0"/>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70" w:after="0"/>
        <w:rPr>
          <w:sz w:val="20"/>
          <w:lang w:val="en-GB"/>
        </w:rPr>
      </w:pPr>
      <w:r>
        <w:rPr>
          <w:sz w:val="20"/>
          <w:lang w:val="en-GB"/>
        </w:rPr>
        <w:drawing>
          <wp:anchor behindDoc="1" distT="0" distB="0" distL="0" distR="0" simplePos="0" locked="0" layoutInCell="0" allowOverlap="1" relativeHeight="18">
            <wp:simplePos x="0" y="0"/>
            <wp:positionH relativeFrom="page">
              <wp:posOffset>899160</wp:posOffset>
            </wp:positionH>
            <wp:positionV relativeFrom="paragraph">
              <wp:posOffset>206375</wp:posOffset>
            </wp:positionV>
            <wp:extent cx="1978025" cy="1097915"/>
            <wp:effectExtent l="0" t="0" r="0" b="0"/>
            <wp:wrapTopAndBottom/>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
                    <pic:cNvPicPr>
                      <a:picLocks noChangeAspect="1" noChangeArrowheads="1"/>
                    </pic:cNvPicPr>
                  </pic:nvPicPr>
                  <pic:blipFill>
                    <a:blip r:embed="rId3"/>
                    <a:stretch>
                      <a:fillRect/>
                    </a:stretch>
                  </pic:blipFill>
                  <pic:spPr bwMode="auto">
                    <a:xfrm>
                      <a:off x="0" y="0"/>
                      <a:ext cx="1978025" cy="1097915"/>
                    </a:xfrm>
                    <a:prstGeom prst="rect">
                      <a:avLst/>
                    </a:prstGeom>
                  </pic:spPr>
                </pic:pic>
              </a:graphicData>
            </a:graphic>
          </wp:anchor>
        </w:drawing>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127" w:after="0"/>
        <w:rPr>
          <w:sz w:val="20"/>
          <w:lang w:val="en-GB"/>
        </w:rPr>
      </w:pPr>
      <w:r>
        <w:rPr>
          <w:sz w:val="20"/>
          <w:lang w:val="en-GB"/>
        </w:rPr>
        <w:drawing>
          <wp:anchor behindDoc="1" distT="0" distB="0" distL="0" distR="0" simplePos="0" locked="0" layoutInCell="0" allowOverlap="1" relativeHeight="19">
            <wp:simplePos x="0" y="0"/>
            <wp:positionH relativeFrom="page">
              <wp:posOffset>3474720</wp:posOffset>
            </wp:positionH>
            <wp:positionV relativeFrom="paragraph">
              <wp:posOffset>241935</wp:posOffset>
            </wp:positionV>
            <wp:extent cx="3891915" cy="2361565"/>
            <wp:effectExtent l="0" t="0" r="0" b="0"/>
            <wp:wrapTopAndBottom/>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
                    <pic:cNvPicPr>
                      <a:picLocks noChangeAspect="1" noChangeArrowheads="1"/>
                    </pic:cNvPicPr>
                  </pic:nvPicPr>
                  <pic:blipFill>
                    <a:blip r:embed="rId4"/>
                    <a:stretch>
                      <a:fillRect/>
                    </a:stretch>
                  </pic:blipFill>
                  <pic:spPr bwMode="auto">
                    <a:xfrm>
                      <a:off x="0" y="0"/>
                      <a:ext cx="3891915" cy="2361565"/>
                    </a:xfrm>
                    <a:prstGeom prst="rect">
                      <a:avLst/>
                    </a:prstGeom>
                  </pic:spPr>
                </pic:pic>
              </a:graphicData>
            </a:graphic>
          </wp:anchor>
        </w:drawing>
      </w:r>
    </w:p>
    <w:p>
      <w:pPr>
        <w:sectPr>
          <w:type w:val="nextPage"/>
          <w:pgSz w:w="11906" w:h="16838"/>
          <w:pgMar w:left="141" w:right="141" w:gutter="0" w:header="0" w:top="240" w:footer="0" w:bottom="0"/>
          <w:pgNumType w:fmt="decimal"/>
          <w:formProt w:val="false"/>
          <w:textDirection w:val="lrTb"/>
        </w:sectPr>
      </w:pPr>
    </w:p>
    <w:p>
      <w:pPr>
        <w:pStyle w:val="BodyText"/>
        <w:rPr>
          <w:lang w:val="en-GB"/>
        </w:rPr>
      </w:pPr>
      <w:r>
        <w:rPr>
          <w:lang w:val="en-GB"/>
        </w:rPr>
        <mc:AlternateContent>
          <mc:Choice Requires="wps">
            <w:drawing>
              <wp:anchor behindDoc="1" distT="0" distB="0" distL="0" distR="0" simplePos="0" locked="0" layoutInCell="0" allowOverlap="1" relativeHeight="12">
                <wp:simplePos x="0" y="0"/>
                <wp:positionH relativeFrom="page">
                  <wp:posOffset>152400</wp:posOffset>
                </wp:positionH>
                <wp:positionV relativeFrom="page">
                  <wp:posOffset>152400</wp:posOffset>
                </wp:positionV>
                <wp:extent cx="7251700" cy="10388600"/>
                <wp:effectExtent l="0" t="0" r="0" b="0"/>
                <wp:wrapNone/>
                <wp:docPr id="4" name="Graphic 4"/>
                <a:graphic xmlns:a="http://schemas.openxmlformats.org/drawingml/2006/main">
                  <a:graphicData uri="http://schemas.microsoft.com/office/word/2010/wordprocessingShape">
                    <wps:wsp>
                      <wps:cNvSpPr/>
                      <wps:spPr>
                        <a:xfrm>
                          <a:off x="0" y="0"/>
                          <a:ext cx="7251840" cy="10388520"/>
                        </a:xfrm>
                        <a:custGeom>
                          <a:avLst/>
                          <a:gdLst>
                            <a:gd name="textAreaLeft" fmla="*/ 0 w 4111200"/>
                            <a:gd name="textAreaRight" fmla="*/ 4111560 w 4111200"/>
                            <a:gd name="textAreaTop" fmla="*/ 0 h 5889600"/>
                            <a:gd name="textAreaBottom" fmla="*/ 5889960 h 5889600"/>
                          </a:gdLst>
                          <a:ahLst/>
                          <a:rect l="textAreaLeft" t="textAreaTop" r="textAreaRight" b="textAreaBottom"/>
                          <a:pathLst>
                            <a:path w="7251700" h="10388600">
                              <a:moveTo>
                                <a:pt x="7251700" y="0"/>
                              </a:moveTo>
                              <a:lnTo>
                                <a:pt x="0" y="0"/>
                              </a:lnTo>
                              <a:lnTo>
                                <a:pt x="0" y="10388600"/>
                              </a:lnTo>
                              <a:lnTo>
                                <a:pt x="7251700" y="10388600"/>
                              </a:lnTo>
                              <a:lnTo>
                                <a:pt x="7251700" y="0"/>
                              </a:lnTo>
                              <a:close/>
                            </a:path>
                          </a:pathLst>
                        </a:custGeom>
                        <a:solidFill>
                          <a:srgbClr val="c52b2f"/>
                        </a:solidFill>
                        <a:ln w="0">
                          <a:noFill/>
                        </a:ln>
                      </wps:spPr>
                      <wps:style>
                        <a:lnRef idx="0"/>
                        <a:fillRef idx="0"/>
                        <a:effectRef idx="0"/>
                        <a:fontRef idx="minor"/>
                      </wps:style>
                      <wps:bodyPr/>
                    </wps:wsp>
                  </a:graphicData>
                </a:graphic>
              </wp:anchor>
            </w:drawing>
          </mc:Choice>
          <mc:Fallback>
            <w:pict/>
          </mc:Fallback>
        </mc:AlternateConten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167" w:after="0"/>
        <w:rPr>
          <w:lang w:val="en-GB"/>
        </w:rPr>
      </w:pPr>
      <w:r>
        <w:rPr>
          <w:lang w:val="en-GB"/>
        </w:rPr>
      </w:r>
    </w:p>
    <w:p>
      <w:pPr>
        <w:pStyle w:val="BodyText"/>
        <w:spacing w:lineRule="auto" w:line="300" w:before="1" w:after="0"/>
        <w:ind w:left="1274" w:right="1243" w:hanging="0"/>
        <w:rPr>
          <w:lang w:val="en-GB"/>
        </w:rPr>
      </w:pPr>
      <w:r>
        <w:rPr>
          <w:color w:val="FFFFFF"/>
          <w:w w:val="110"/>
          <w:lang w:val="en-GB"/>
        </w:rPr>
        <w:t xml:space="preserve">This is a publication of the National Student Union (LSVb). For questions or additional information, please email: </w:t>
      </w:r>
      <w:hyperlink r:id="rId5">
        <w:r>
          <w:rPr>
            <w:color w:val="FFFFFF"/>
            <w:w w:val="110"/>
            <w:lang w:val="en-GB"/>
          </w:rPr>
          <w:t>lsvb@lsvb.nl</w:t>
        </w:r>
      </w:hyperlink>
    </w:p>
    <w:p>
      <w:pPr>
        <w:pStyle w:val="BodyText"/>
        <w:rPr>
          <w:lang w:val="en-GB"/>
        </w:rPr>
      </w:pPr>
      <w:r>
        <w:rPr>
          <w:lang w:val="en-GB"/>
        </w:rPr>
      </w:r>
    </w:p>
    <w:p>
      <w:pPr>
        <w:pStyle w:val="BodyText"/>
        <w:spacing w:before="106" w:after="0"/>
        <w:rPr>
          <w:lang w:val="en-GB"/>
        </w:rPr>
      </w:pPr>
      <w:r>
        <w:rPr>
          <w:lang w:val="en-GB"/>
        </w:rPr>
      </w:r>
    </w:p>
    <w:p>
      <w:pPr>
        <w:pStyle w:val="BodyText"/>
        <w:tabs>
          <w:tab w:val="clear" w:pos="720"/>
          <w:tab w:val="left" w:pos="2684" w:leader="none"/>
        </w:tabs>
        <w:spacing w:lineRule="auto" w:line="300"/>
        <w:ind w:left="2685" w:right="6079" w:hanging="1410"/>
        <w:rPr>
          <w:lang w:val="en-GB"/>
        </w:rPr>
      </w:pPr>
      <w:r>
        <w:rPr>
          <w:color w:val="FFFFFF"/>
          <w:spacing w:val="-2"/>
          <w:w w:val="110"/>
          <w:lang w:val="en-GB"/>
        </w:rPr>
        <w:t>Authors:</w:t>
      </w:r>
      <w:r>
        <w:rPr>
          <w:color w:val="FFFFFF"/>
          <w:lang w:val="en-GB"/>
        </w:rPr>
        <w:tab/>
      </w:r>
      <w:r>
        <w:rPr>
          <w:color w:val="FFFFFF"/>
          <w:w w:val="110"/>
          <w:lang w:val="en-GB"/>
        </w:rPr>
        <w:t>Tim van den Brink Education Policy Officer</w:t>
      </w:r>
    </w:p>
    <w:p>
      <w:pPr>
        <w:pStyle w:val="BodyText"/>
        <w:rPr>
          <w:lang w:val="en-GB"/>
        </w:rPr>
      </w:pPr>
      <w:r>
        <w:rPr>
          <w:lang w:val="en-GB"/>
        </w:rPr>
      </w:r>
    </w:p>
    <w:p>
      <w:pPr>
        <w:pStyle w:val="BodyText"/>
        <w:spacing w:before="106" w:after="0"/>
        <w:rPr>
          <w:lang w:val="en-GB"/>
        </w:rPr>
      </w:pPr>
      <w:r>
        <w:rPr>
          <w:lang w:val="en-GB"/>
        </w:rPr>
      </w:r>
    </w:p>
    <w:p>
      <w:pPr>
        <w:pStyle w:val="BodyText"/>
        <w:spacing w:lineRule="auto" w:line="300" w:before="1" w:after="0"/>
        <w:ind w:left="1274" w:right="6881" w:hanging="0"/>
        <w:rPr>
          <w:lang w:val="en-GB"/>
        </w:rPr>
      </w:pPr>
      <w:r>
        <w:rPr>
          <w:color w:val="FFFFFF"/>
          <w:w w:val="110"/>
          <w:lang w:val="en-GB"/>
        </w:rPr>
        <w:t>National Student Union</w:t>
      </w:r>
    </w:p>
    <w:p>
      <w:pPr>
        <w:pStyle w:val="BodyText"/>
        <w:spacing w:before="1" w:after="0"/>
        <w:ind w:left="1274" w:hanging="0"/>
        <w:rPr>
          <w:lang w:val="en-GB"/>
        </w:rPr>
      </w:pPr>
      <w:r>
        <w:rPr>
          <w:color w:val="FFFFFF"/>
          <w:lang w:val="en-GB"/>
        </w:rPr>
        <w:t xml:space="preserve">3500 BH </w:t>
      </w:r>
      <w:r>
        <w:rPr>
          <w:color w:val="FFFFFF"/>
          <w:spacing w:val="-2"/>
          <w:lang w:val="en-GB"/>
        </w:rPr>
        <w:t>Utrecht</w:t>
      </w:r>
    </w:p>
    <w:p>
      <w:pPr>
        <w:pStyle w:val="BodyText"/>
        <w:spacing w:before="55" w:after="0"/>
        <w:ind w:left="1274" w:hanging="0"/>
        <w:rPr>
          <w:lang w:val="en-GB"/>
        </w:rPr>
      </w:pPr>
      <w:r>
        <w:rPr>
          <w:color w:val="FFFFFF"/>
          <w:lang w:val="en-GB"/>
        </w:rPr>
        <w:t>Tel.</w:t>
      </w:r>
      <w:r>
        <w:rPr>
          <w:color w:val="FFFFFF"/>
          <w:spacing w:val="-2"/>
          <w:lang w:val="en-GB"/>
        </w:rPr>
        <w:t xml:space="preserve"> 030-2316464</w:t>
      </w:r>
    </w:p>
    <w:p>
      <w:pPr>
        <w:pStyle w:val="BodyText"/>
        <w:spacing w:before="105" w:after="0"/>
        <w:rPr>
          <w:lang w:val="en-GB"/>
        </w:rPr>
      </w:pPr>
      <w:r>
        <w:rPr>
          <w:lang w:val="en-GB"/>
        </w:rPr>
      </w:r>
    </w:p>
    <w:p>
      <w:pPr>
        <w:sectPr>
          <w:type w:val="nextPage"/>
          <w:pgSz w:w="11906" w:h="16838"/>
          <w:pgMar w:left="141" w:right="141" w:gutter="0" w:header="0" w:top="1940" w:footer="0" w:bottom="280"/>
          <w:pgNumType w:fmt="decimal"/>
          <w:formProt w:val="false"/>
          <w:textDirection w:val="lrTb"/>
          <w:docGrid w:type="default" w:linePitch="100" w:charSpace="4096"/>
        </w:sectPr>
        <w:pStyle w:val="BodyText"/>
        <w:ind w:left="1274" w:hanging="0"/>
        <w:rPr>
          <w:lang w:val="en-GB"/>
        </w:rPr>
      </w:pPr>
      <w:r>
        <w:rPr>
          <w:color w:val="FFFFFF"/>
          <w:w w:val="105"/>
          <w:lang w:val="en-GB"/>
        </w:rPr>
        <w:t>February</w:t>
      </w:r>
      <w:r>
        <w:rPr>
          <w:color w:val="FFFFFF"/>
          <w:spacing w:val="-4"/>
          <w:w w:val="110"/>
          <w:lang w:val="en-GB"/>
        </w:rPr>
        <w:t xml:space="preserve"> 2011</w:t>
      </w:r>
    </w:p>
    <w:p>
      <w:pPr>
        <w:pStyle w:val="BodyText"/>
        <w:rPr>
          <w:sz w:val="31"/>
          <w:lang w:val="en-GB"/>
        </w:rPr>
      </w:pPr>
      <w:r>
        <w:rPr>
          <w:sz w:val="31"/>
          <w:lang w:val="en-GB"/>
        </w:rPr>
        <w:drawing>
          <wp:anchor behindDoc="0" distT="0" distB="0" distL="0" distR="0" simplePos="0" locked="0" layoutInCell="0" allowOverlap="1" relativeHeight="11">
            <wp:simplePos x="0" y="0"/>
            <wp:positionH relativeFrom="page">
              <wp:posOffset>5754370</wp:posOffset>
            </wp:positionH>
            <wp:positionV relativeFrom="page">
              <wp:posOffset>8900160</wp:posOffset>
            </wp:positionV>
            <wp:extent cx="1228090" cy="1231265"/>
            <wp:effectExtent l="0" t="0" r="0" b="0"/>
            <wp:wrapNone/>
            <wp:docPr id="5"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8" descr=""/>
                    <pic:cNvPicPr>
                      <a:picLocks noChangeAspect="1" noChangeArrowheads="1"/>
                    </pic:cNvPicPr>
                  </pic:nvPicPr>
                  <pic:blipFill>
                    <a:blip r:embed="rId6"/>
                    <a:stretch>
                      <a:fillRect/>
                    </a:stretch>
                  </pic:blipFill>
                  <pic:spPr bwMode="auto">
                    <a:xfrm>
                      <a:off x="0" y="0"/>
                      <a:ext cx="1228090" cy="1231265"/>
                    </a:xfrm>
                    <a:prstGeom prst="rect">
                      <a:avLst/>
                    </a:prstGeom>
                  </pic:spPr>
                </pic:pic>
              </a:graphicData>
            </a:graphic>
          </wp:anchor>
        </w:drawing>
        <w:drawing>
          <wp:anchor behindDoc="1" distT="0" distB="0" distL="0" distR="0" simplePos="0" locked="0" layoutInCell="0" allowOverlap="1" relativeHeight="13">
            <wp:simplePos x="0" y="0"/>
            <wp:positionH relativeFrom="page">
              <wp:posOffset>6440170</wp:posOffset>
            </wp:positionH>
            <wp:positionV relativeFrom="page">
              <wp:posOffset>9792970</wp:posOffset>
            </wp:positionV>
            <wp:extent cx="381000" cy="381000"/>
            <wp:effectExtent l="0" t="0" r="0" b="0"/>
            <wp:wrapNone/>
            <wp:docPr id="6" name="Imag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7" descr=""/>
                    <pic:cNvPicPr>
                      <a:picLocks noChangeAspect="1" noChangeArrowheads="1"/>
                    </pic:cNvPicPr>
                  </pic:nvPicPr>
                  <pic:blipFill>
                    <a:blip r:embed="rId7"/>
                    <a:stretch>
                      <a:fillRect/>
                    </a:stretch>
                  </pic:blipFill>
                  <pic:spPr bwMode="auto">
                    <a:xfrm>
                      <a:off x="0" y="0"/>
                      <a:ext cx="381000" cy="381000"/>
                    </a:xfrm>
                    <a:prstGeom prst="rect">
                      <a:avLst/>
                    </a:prstGeom>
                  </pic:spPr>
                </pic:pic>
              </a:graphicData>
            </a:graphic>
          </wp:anchor>
        </w:drawing>
      </w:r>
    </w:p>
    <w:p>
      <w:pPr>
        <w:pStyle w:val="BodyText"/>
        <w:spacing w:before="337" w:after="0"/>
        <w:rPr>
          <w:sz w:val="31"/>
          <w:lang w:val="en-GB"/>
        </w:rPr>
      </w:pPr>
      <w:r>
        <w:rPr>
          <w:sz w:val="31"/>
          <w:lang w:val="en-GB"/>
        </w:rPr>
      </w:r>
    </w:p>
    <w:p>
      <w:pPr>
        <w:pStyle w:val="Normal"/>
        <w:spacing w:before="1" w:after="0"/>
        <w:ind w:left="9" w:right="7" w:hanging="0"/>
        <w:jc w:val="center"/>
        <w:rPr>
          <w:rFonts w:ascii="Arial Black" w:hAnsi="Arial Black"/>
          <w:sz w:val="31"/>
          <w:lang w:val="en-GB"/>
        </w:rPr>
      </w:pPr>
      <w:r>
        <w:rPr>
          <w:rFonts w:ascii="Arial Black" w:hAnsi="Arial Black"/>
          <w:color w:val="C52B2F"/>
          <w:spacing w:val="-2"/>
          <w:sz w:val="32"/>
          <w:lang w:val="en-GB"/>
        </w:rPr>
        <w:t>Table of contents</w:t>
      </w:r>
    </w:p>
    <w:p>
      <w:pPr>
        <w:pStyle w:val="BodyText"/>
        <w:rPr>
          <w:rFonts w:ascii="Arial Black" w:hAnsi="Arial Black"/>
          <w:sz w:val="31"/>
          <w:lang w:val="en-GB"/>
        </w:rPr>
      </w:pPr>
      <w:r>
        <w:rPr>
          <w:rFonts w:ascii="Arial Black" w:hAnsi="Arial Black"/>
          <w:sz w:val="31"/>
          <w:lang w:val="en-GB"/>
        </w:rPr>
      </w:r>
    </w:p>
    <w:p>
      <w:pPr>
        <w:pStyle w:val="BodyText"/>
        <w:spacing w:before="178" w:after="0"/>
        <w:rPr>
          <w:rFonts w:ascii="Arial Black" w:hAnsi="Arial Black"/>
          <w:sz w:val="31"/>
          <w:lang w:val="en-GB"/>
        </w:rPr>
      </w:pPr>
      <w:r>
        <w:rPr>
          <w:rFonts w:ascii="Arial Black" w:hAnsi="Arial Black"/>
          <w:sz w:val="31"/>
          <w:lang w:val="en-GB"/>
        </w:rPr>
      </w:r>
    </w:p>
    <w:p>
      <w:pPr>
        <w:pStyle w:val="Normal"/>
        <w:tabs>
          <w:tab w:val="clear" w:pos="720"/>
          <w:tab w:val="left" w:pos="5637" w:leader="dot"/>
        </w:tabs>
        <w:spacing w:before="1" w:after="0"/>
        <w:ind w:left="-1" w:right="7" w:hanging="0"/>
        <w:jc w:val="center"/>
        <w:rPr>
          <w:rFonts w:ascii="Arial Black" w:hAnsi="Arial Black"/>
          <w:sz w:val="19"/>
          <w:lang w:val="en-GB"/>
        </w:rPr>
      </w:pPr>
      <w:r>
        <w:rPr>
          <w:sz w:val="19"/>
          <w:lang w:val="en-GB"/>
        </w:rPr>
        <w:t xml:space="preserve">H1 </w:t>
      </w:r>
      <w:r>
        <w:rPr>
          <w:spacing w:val="-2"/>
          <w:sz w:val="19"/>
          <w:lang w:val="en-GB"/>
        </w:rPr>
        <w:t>Introduction</w:t>
      </w:r>
      <w:r>
        <w:rPr>
          <w:sz w:val="19"/>
          <w:lang w:val="en-GB"/>
        </w:rPr>
        <w:tab/>
      </w:r>
      <w:r>
        <w:rPr>
          <w:rFonts w:ascii="Arial Black" w:hAnsi="Arial Black"/>
          <w:spacing w:val="-6"/>
          <w:sz w:val="19"/>
          <w:lang w:val="en-GB"/>
        </w:rPr>
        <w:t>Error! Bookmark not defined.</w:t>
      </w:r>
    </w:p>
    <w:sdt>
      <w:sdtPr>
        <w:docPartObj>
          <w:docPartGallery w:val="Table of Contents"/>
          <w:docPartUnique w:val="true"/>
        </w:docPartObj>
      </w:sdtPr>
      <w:sdtContent>
        <w:p>
          <w:pPr>
            <w:pStyle w:val="TOC1"/>
            <w:tabs>
              <w:tab w:val="clear" w:pos="720"/>
              <w:tab w:val="right" w:pos="10333" w:leader="dot"/>
            </w:tabs>
            <w:spacing w:before="175" w:after="0"/>
            <w:rPr/>
          </w:pPr>
          <w:r>
            <w:fldChar w:fldCharType="begin"/>
          </w:r>
          <w:r>
            <w:rPr>
              <w:webHidden/>
              <w:rStyle w:val="IndexLink"/>
            </w:rPr>
            <w:instrText xml:space="preserve"> TOC \z \o "1-2" \u \h</w:instrText>
          </w:r>
          <w:r>
            <w:rPr>
              <w:webHidden/>
              <w:rStyle w:val="IndexLink"/>
            </w:rPr>
            <w:fldChar w:fldCharType="separate"/>
          </w:r>
          <w:hyperlink w:anchor="_TOC_250019">
            <w:r>
              <w:rPr>
                <w:webHidden/>
                <w:rStyle w:val="IndexLink"/>
              </w:rPr>
              <w:t xml:space="preserve">H2 Good objective </w:t>
            </w:r>
            <w:r>
              <w:rPr>
                <w:rStyle w:val="IndexLink"/>
                <w:spacing w:val="-2"/>
              </w:rPr>
              <w:t>study information</w:t>
            </w:r>
            <w:r>
              <w:rPr>
                <w:rStyle w:val="IndexLink"/>
              </w:rPr>
              <w:tab/>
            </w:r>
            <w:r>
              <w:rPr>
                <w:rStyle w:val="IndexLink"/>
                <w:spacing w:val="-10"/>
              </w:rPr>
              <w:t>3</w:t>
            </w:r>
          </w:hyperlink>
        </w:p>
        <w:p>
          <w:pPr>
            <w:pStyle w:val="TOC1"/>
            <w:tabs>
              <w:tab w:val="clear" w:pos="720"/>
              <w:tab w:val="right" w:pos="10333" w:leader="dot"/>
            </w:tabs>
            <w:rPr/>
          </w:pPr>
          <w:hyperlink w:anchor="_TOC_250018">
            <w:r>
              <w:rPr>
                <w:webHidden/>
                <w:rStyle w:val="IndexLink"/>
              </w:rPr>
              <w:t xml:space="preserve">H3 Well-guided </w:t>
            </w:r>
            <w:r>
              <w:rPr>
                <w:rStyle w:val="IndexLink"/>
                <w:spacing w:val="-2"/>
              </w:rPr>
              <w:t>study choice process</w:t>
            </w:r>
            <w:r>
              <w:rPr>
                <w:rStyle w:val="IndexLink"/>
              </w:rPr>
              <w:tab/>
            </w:r>
            <w:r>
              <w:rPr>
                <w:rStyle w:val="IndexLink"/>
                <w:spacing w:val="-10"/>
              </w:rPr>
              <w:t>4</w:t>
            </w:r>
          </w:hyperlink>
        </w:p>
        <w:p>
          <w:pPr>
            <w:pStyle w:val="TOC2"/>
            <w:numPr>
              <w:ilvl w:val="1"/>
              <w:numId w:val="7"/>
            </w:numPr>
            <w:tabs>
              <w:tab w:val="clear" w:pos="720"/>
              <w:tab w:val="left" w:pos="1826" w:leader="none"/>
              <w:tab w:val="right" w:pos="10333" w:leader="dot"/>
            </w:tabs>
            <w:spacing w:before="199" w:after="0"/>
            <w:ind w:left="1826" w:hanging="332"/>
            <w:rPr/>
          </w:pPr>
          <w:hyperlink w:anchor="_TOC_250017">
            <w:r>
              <w:rPr>
                <w:webHidden/>
                <w:rStyle w:val="IndexLink"/>
                <w:w w:val="110"/>
              </w:rPr>
              <w:t xml:space="preserve">Inclusion of study choice in the secondary </w:t>
            </w:r>
            <w:r>
              <w:rPr>
                <w:rStyle w:val="IndexLink"/>
                <w:spacing w:val="-2"/>
                <w:w w:val="110"/>
              </w:rPr>
              <w:t xml:space="preserve">education </w:t>
            </w:r>
            <w:r>
              <w:rPr>
                <w:rStyle w:val="IndexLink"/>
              </w:rPr>
              <w:tab/>
            </w:r>
            <w:r>
              <w:rPr>
                <w:rStyle w:val="IndexLink"/>
                <w:spacing w:val="-10"/>
                <w:w w:val="110"/>
              </w:rPr>
              <w:t>4</w:t>
            </w:r>
          </w:hyperlink>
        </w:p>
        <w:p>
          <w:pPr>
            <w:pStyle w:val="TOC2"/>
            <w:numPr>
              <w:ilvl w:val="1"/>
              <w:numId w:val="7"/>
            </w:numPr>
            <w:tabs>
              <w:tab w:val="clear" w:pos="720"/>
              <w:tab w:val="left" w:pos="1826" w:leader="none"/>
              <w:tab w:val="right" w:pos="10333" w:leader="dot"/>
            </w:tabs>
            <w:ind w:left="1826" w:hanging="332"/>
            <w:rPr/>
          </w:pPr>
          <w:hyperlink w:anchor="_TOC_250016">
            <w:r>
              <w:rPr>
                <w:webHidden/>
                <w:rStyle w:val="IndexLink"/>
                <w:spacing w:val="-2"/>
              </w:rPr>
              <w:t>Dean</w:t>
            </w:r>
            <w:r>
              <w:rPr>
                <w:rStyle w:val="IndexLink"/>
              </w:rPr>
              <w:tab/>
            </w:r>
            <w:r>
              <w:rPr>
                <w:rStyle w:val="IndexLink"/>
                <w:spacing w:val="-10"/>
              </w:rPr>
              <w:t>5</w:t>
            </w:r>
          </w:hyperlink>
        </w:p>
        <w:p>
          <w:pPr>
            <w:pStyle w:val="TOC2"/>
            <w:numPr>
              <w:ilvl w:val="1"/>
              <w:numId w:val="7"/>
            </w:numPr>
            <w:tabs>
              <w:tab w:val="clear" w:pos="720"/>
              <w:tab w:val="left" w:pos="1826" w:leader="none"/>
              <w:tab w:val="right" w:pos="10333" w:leader="dot"/>
            </w:tabs>
            <w:ind w:left="1826" w:hanging="332"/>
            <w:rPr/>
          </w:pPr>
          <w:hyperlink w:anchor="_TOC_250015">
            <w:r>
              <w:rPr>
                <w:webHidden/>
                <w:rStyle w:val="IndexLink"/>
                <w:spacing w:val="-2"/>
                <w:w w:val="110"/>
              </w:rPr>
              <w:t xml:space="preserve">Involving </w:t>
            </w:r>
            <w:r>
              <w:rPr>
                <w:rStyle w:val="IndexLink"/>
                <w:w w:val="110"/>
              </w:rPr>
              <w:t xml:space="preserve">parents in the study choice </w:t>
            </w:r>
            <w:r>
              <w:rPr>
                <w:rStyle w:val="IndexLink"/>
              </w:rPr>
              <w:tab/>
            </w:r>
            <w:r>
              <w:rPr>
                <w:rStyle w:val="IndexLink"/>
                <w:spacing w:val="-10"/>
                <w:w w:val="105"/>
              </w:rPr>
              <w:t>5</w:t>
            </w:r>
          </w:hyperlink>
        </w:p>
        <w:p>
          <w:pPr>
            <w:pStyle w:val="TOC1"/>
            <w:tabs>
              <w:tab w:val="clear" w:pos="720"/>
              <w:tab w:val="right" w:pos="10333" w:leader="dot"/>
            </w:tabs>
            <w:rPr/>
          </w:pPr>
          <w:hyperlink w:anchor="_TOC_250014">
            <w:r>
              <w:rPr>
                <w:webHidden/>
                <w:rStyle w:val="IndexLink"/>
                <w:w w:val="110"/>
              </w:rPr>
              <w:t xml:space="preserve">H4 Intake </w:t>
            </w:r>
            <w:r>
              <w:rPr>
                <w:rStyle w:val="IndexLink"/>
                <w:spacing w:val="-2"/>
                <w:w w:val="110"/>
              </w:rPr>
              <w:t>process</w:t>
            </w:r>
            <w:r>
              <w:rPr>
                <w:rStyle w:val="IndexLink"/>
              </w:rPr>
              <w:tab/>
            </w:r>
            <w:r>
              <w:rPr>
                <w:rStyle w:val="IndexLink"/>
                <w:spacing w:val="-10"/>
                <w:w w:val="105"/>
              </w:rPr>
              <w:t>6</w:t>
            </w:r>
          </w:hyperlink>
        </w:p>
        <w:p>
          <w:pPr>
            <w:pStyle w:val="TOC2"/>
            <w:numPr>
              <w:ilvl w:val="1"/>
              <w:numId w:val="6"/>
            </w:numPr>
            <w:tabs>
              <w:tab w:val="clear" w:pos="720"/>
              <w:tab w:val="left" w:pos="1826" w:leader="none"/>
              <w:tab w:val="right" w:pos="10333" w:leader="dot"/>
            </w:tabs>
            <w:ind w:left="1826" w:hanging="332"/>
            <w:rPr/>
          </w:pPr>
          <w:hyperlink w:anchor="_TOC_250013">
            <w:r>
              <w:rPr>
                <w:webHidden/>
                <w:rStyle w:val="IndexLink"/>
                <w:w w:val="105"/>
              </w:rPr>
              <w:t xml:space="preserve">Intensive </w:t>
            </w:r>
            <w:r>
              <w:rPr>
                <w:rStyle w:val="IndexLink"/>
                <w:spacing w:val="-2"/>
                <w:w w:val="110"/>
              </w:rPr>
              <w:t>matching</w:t>
            </w:r>
            <w:r>
              <w:rPr>
                <w:rStyle w:val="IndexLink"/>
              </w:rPr>
              <w:tab/>
            </w:r>
            <w:r>
              <w:rPr>
                <w:rStyle w:val="IndexLink"/>
                <w:spacing w:val="-10"/>
                <w:w w:val="105"/>
              </w:rPr>
              <w:t>6</w:t>
            </w:r>
          </w:hyperlink>
        </w:p>
        <w:p>
          <w:pPr>
            <w:pStyle w:val="TOC2"/>
            <w:numPr>
              <w:ilvl w:val="1"/>
              <w:numId w:val="6"/>
            </w:numPr>
            <w:tabs>
              <w:tab w:val="clear" w:pos="720"/>
              <w:tab w:val="left" w:pos="1826" w:leader="none"/>
              <w:tab w:val="right" w:pos="10333" w:leader="dot"/>
            </w:tabs>
            <w:ind w:left="1826" w:hanging="332"/>
            <w:rPr/>
          </w:pPr>
          <w:hyperlink w:anchor="_TOC_250012">
            <w:r>
              <w:rPr>
                <w:webHidden/>
                <w:rStyle w:val="IndexLink"/>
                <w:spacing w:val="-2"/>
                <w:w w:val="110"/>
              </w:rPr>
              <w:t>Example</w:t>
            </w:r>
            <w:r>
              <w:rPr>
                <w:rStyle w:val="IndexLink"/>
              </w:rPr>
              <w:tab/>
            </w:r>
            <w:r>
              <w:rPr>
                <w:rStyle w:val="IndexLink"/>
                <w:spacing w:val="-10"/>
                <w:w w:val="110"/>
              </w:rPr>
              <w:t>6</w:t>
            </w:r>
          </w:hyperlink>
        </w:p>
        <w:p>
          <w:pPr>
            <w:pStyle w:val="TOC2"/>
            <w:numPr>
              <w:ilvl w:val="1"/>
              <w:numId w:val="6"/>
            </w:numPr>
            <w:tabs>
              <w:tab w:val="clear" w:pos="720"/>
              <w:tab w:val="left" w:pos="1826" w:leader="none"/>
              <w:tab w:val="right" w:pos="10333" w:leader="dot"/>
            </w:tabs>
            <w:spacing w:before="195" w:after="0"/>
            <w:ind w:left="1826" w:hanging="332"/>
            <w:rPr/>
          </w:pPr>
          <w:hyperlink w:anchor="_TOC_250011">
            <w:r>
              <w:rPr>
                <w:webHidden/>
                <w:rStyle w:val="IndexLink"/>
                <w:spacing w:val="-2"/>
                <w:w w:val="110"/>
              </w:rPr>
              <w:t>Work experience programmes</w:t>
            </w:r>
            <w:r>
              <w:rPr>
                <w:rStyle w:val="IndexLink"/>
              </w:rPr>
              <w:tab/>
            </w:r>
            <w:r>
              <w:rPr>
                <w:rStyle w:val="IndexLink"/>
                <w:spacing w:val="-10"/>
                <w:w w:val="105"/>
              </w:rPr>
              <w:t>6</w:t>
            </w:r>
          </w:hyperlink>
        </w:p>
        <w:p>
          <w:pPr>
            <w:pStyle w:val="TOC2"/>
            <w:numPr>
              <w:ilvl w:val="1"/>
              <w:numId w:val="6"/>
            </w:numPr>
            <w:tabs>
              <w:tab w:val="clear" w:pos="720"/>
              <w:tab w:val="left" w:pos="1826" w:leader="none"/>
              <w:tab w:val="right" w:pos="10333" w:leader="dot"/>
            </w:tabs>
            <w:ind w:left="1826" w:hanging="332"/>
            <w:rPr/>
          </w:pPr>
          <w:hyperlink w:anchor="_TOC_250010">
            <w:r>
              <w:rPr>
                <w:webHidden/>
                <w:rStyle w:val="IndexLink"/>
                <w:w w:val="110"/>
              </w:rPr>
              <w:t xml:space="preserve">Intake assignment or </w:t>
            </w:r>
            <w:r>
              <w:rPr>
                <w:rStyle w:val="IndexLink"/>
                <w:spacing w:val="-2"/>
                <w:w w:val="110"/>
              </w:rPr>
              <w:t>motivation</w:t>
            </w:r>
            <w:r>
              <w:rPr>
                <w:rStyle w:val="IndexLink"/>
              </w:rPr>
              <w:tab/>
            </w:r>
            <w:r>
              <w:rPr>
                <w:rStyle w:val="IndexLink"/>
                <w:spacing w:val="-10"/>
                <w:w w:val="115"/>
              </w:rPr>
              <w:t>7</w:t>
            </w:r>
          </w:hyperlink>
        </w:p>
        <w:p>
          <w:pPr>
            <w:pStyle w:val="TOC2"/>
            <w:numPr>
              <w:ilvl w:val="1"/>
              <w:numId w:val="6"/>
            </w:numPr>
            <w:tabs>
              <w:tab w:val="clear" w:pos="720"/>
              <w:tab w:val="left" w:pos="1826" w:leader="none"/>
              <w:tab w:val="right" w:pos="10333" w:leader="dot"/>
            </w:tabs>
            <w:ind w:left="1826" w:hanging="332"/>
            <w:rPr/>
          </w:pPr>
          <w:hyperlink w:anchor="_TOC_250009">
            <w:r>
              <w:rPr>
                <w:webHidden/>
                <w:rStyle w:val="IndexLink"/>
                <w:spacing w:val="-2"/>
                <w:w w:val="110"/>
              </w:rPr>
              <w:t>Intake interview</w:t>
            </w:r>
            <w:r>
              <w:rPr>
                <w:rStyle w:val="IndexLink"/>
              </w:rPr>
              <w:tab/>
            </w:r>
            <w:r>
              <w:rPr>
                <w:rStyle w:val="IndexLink"/>
                <w:spacing w:val="-10"/>
                <w:w w:val="105"/>
              </w:rPr>
              <w:t>7</w:t>
            </w:r>
          </w:hyperlink>
        </w:p>
        <w:p>
          <w:pPr>
            <w:pStyle w:val="TOC2"/>
            <w:numPr>
              <w:ilvl w:val="1"/>
              <w:numId w:val="6"/>
            </w:numPr>
            <w:tabs>
              <w:tab w:val="clear" w:pos="720"/>
              <w:tab w:val="left" w:pos="1826" w:leader="none"/>
              <w:tab w:val="right" w:pos="10333" w:leader="dot"/>
            </w:tabs>
            <w:spacing w:before="195" w:after="0"/>
            <w:ind w:left="1826" w:hanging="332"/>
            <w:rPr/>
          </w:pPr>
          <w:hyperlink w:anchor="_TOC_250008">
            <w:r>
              <w:rPr>
                <w:webHidden/>
                <w:rStyle w:val="IndexLink"/>
                <w:spacing w:val="-2"/>
                <w:w w:val="110"/>
              </w:rPr>
              <w:t>Reflection</w:t>
            </w:r>
            <w:r>
              <w:rPr>
                <w:rStyle w:val="IndexLink"/>
              </w:rPr>
              <w:tab/>
            </w:r>
            <w:r>
              <w:rPr>
                <w:rStyle w:val="IndexLink"/>
                <w:spacing w:val="-10"/>
                <w:w w:val="110"/>
              </w:rPr>
              <w:t>7</w:t>
            </w:r>
          </w:hyperlink>
        </w:p>
        <w:p>
          <w:pPr>
            <w:pStyle w:val="TOC1"/>
            <w:tabs>
              <w:tab w:val="clear" w:pos="720"/>
              <w:tab w:val="right" w:pos="10333" w:leader="dot"/>
            </w:tabs>
            <w:spacing w:before="194" w:after="0"/>
            <w:rPr/>
          </w:pPr>
          <w:hyperlink w:anchor="_TOC_250007">
            <w:r>
              <w:rPr>
                <w:webHidden/>
                <w:rStyle w:val="IndexLink"/>
                <w:w w:val="110"/>
              </w:rPr>
              <w:t xml:space="preserve">H5 Support and </w:t>
            </w:r>
            <w:r>
              <w:rPr>
                <w:rStyle w:val="IndexLink"/>
                <w:spacing w:val="-2"/>
                <w:w w:val="105"/>
              </w:rPr>
              <w:t>study career guidance</w:t>
            </w:r>
            <w:r>
              <w:rPr>
                <w:rStyle w:val="IndexLink"/>
              </w:rPr>
              <w:tab/>
            </w:r>
            <w:r>
              <w:rPr>
                <w:rStyle w:val="IndexLink"/>
                <w:spacing w:val="-10"/>
                <w:w w:val="105"/>
              </w:rPr>
              <w:t>9</w:t>
            </w:r>
          </w:hyperlink>
        </w:p>
        <w:p>
          <w:pPr>
            <w:pStyle w:val="TOC2"/>
            <w:numPr>
              <w:ilvl w:val="1"/>
              <w:numId w:val="5"/>
            </w:numPr>
            <w:tabs>
              <w:tab w:val="clear" w:pos="720"/>
              <w:tab w:val="left" w:pos="1826" w:leader="none"/>
              <w:tab w:val="right" w:pos="10333" w:leader="dot"/>
            </w:tabs>
            <w:spacing w:before="199" w:after="0"/>
            <w:ind w:left="1826" w:hanging="332"/>
            <w:rPr/>
          </w:pPr>
          <w:hyperlink w:anchor="_TOC_250006">
            <w:r>
              <w:rPr>
                <w:webHidden/>
                <w:rStyle w:val="IndexLink"/>
                <w:spacing w:val="-2"/>
              </w:rPr>
              <w:t>Buddy system</w:t>
            </w:r>
            <w:r>
              <w:rPr>
                <w:rStyle w:val="IndexLink"/>
              </w:rPr>
              <w:tab/>
            </w:r>
            <w:r>
              <w:rPr>
                <w:rStyle w:val="IndexLink"/>
                <w:spacing w:val="-10"/>
              </w:rPr>
              <w:t>9</w:t>
            </w:r>
          </w:hyperlink>
        </w:p>
        <w:p>
          <w:pPr>
            <w:pStyle w:val="TOC2"/>
            <w:numPr>
              <w:ilvl w:val="1"/>
              <w:numId w:val="5"/>
            </w:numPr>
            <w:tabs>
              <w:tab w:val="clear" w:pos="720"/>
              <w:tab w:val="left" w:pos="1826" w:leader="none"/>
              <w:tab w:val="right" w:pos="10333" w:leader="dot"/>
            </w:tabs>
            <w:ind w:left="1826" w:hanging="332"/>
            <w:rPr/>
          </w:pPr>
          <w:hyperlink w:anchor="_TOC_250005">
            <w:r>
              <w:rPr>
                <w:webHidden/>
                <w:rStyle w:val="IndexLink"/>
                <w:w w:val="110"/>
              </w:rPr>
              <w:t xml:space="preserve">Study career </w:t>
            </w:r>
            <w:r>
              <w:rPr>
                <w:rStyle w:val="IndexLink"/>
                <w:spacing w:val="-2"/>
                <w:w w:val="105"/>
              </w:rPr>
              <w:t>discussions</w:t>
            </w:r>
            <w:r>
              <w:rPr>
                <w:rStyle w:val="IndexLink"/>
              </w:rPr>
              <w:tab/>
            </w:r>
            <w:r>
              <w:rPr>
                <w:rStyle w:val="IndexLink"/>
                <w:spacing w:val="-10"/>
                <w:w w:val="105"/>
              </w:rPr>
              <w:t>9</w:t>
            </w:r>
          </w:hyperlink>
        </w:p>
        <w:p>
          <w:pPr>
            <w:pStyle w:val="TOC2"/>
            <w:numPr>
              <w:ilvl w:val="1"/>
              <w:numId w:val="5"/>
            </w:numPr>
            <w:tabs>
              <w:tab w:val="clear" w:pos="720"/>
              <w:tab w:val="left" w:pos="1826" w:leader="none"/>
              <w:tab w:val="right" w:pos="10333" w:leader="dot"/>
            </w:tabs>
            <w:spacing w:before="195" w:after="0"/>
            <w:ind w:left="1826" w:hanging="332"/>
            <w:rPr/>
          </w:pPr>
          <w:hyperlink w:anchor="_TOC_250004">
            <w:r>
              <w:rPr>
                <w:webHidden/>
                <w:rStyle w:val="IndexLink"/>
                <w:spacing w:val="-2"/>
              </w:rPr>
              <w:t>Career guidance</w:t>
            </w:r>
            <w:r>
              <w:rPr>
                <w:rStyle w:val="IndexLink"/>
              </w:rPr>
              <w:tab/>
            </w:r>
            <w:r>
              <w:rPr>
                <w:rStyle w:val="IndexLink"/>
                <w:spacing w:val="-10"/>
              </w:rPr>
              <w:t>9</w:t>
            </w:r>
          </w:hyperlink>
        </w:p>
        <w:p>
          <w:pPr>
            <w:pStyle w:val="TOC2"/>
            <w:numPr>
              <w:ilvl w:val="1"/>
              <w:numId w:val="5"/>
            </w:numPr>
            <w:tabs>
              <w:tab w:val="clear" w:pos="720"/>
              <w:tab w:val="left" w:pos="1826" w:leader="none"/>
              <w:tab w:val="right" w:pos="10334" w:leader="dot"/>
            </w:tabs>
            <w:ind w:left="1826" w:hanging="332"/>
            <w:rPr/>
          </w:pPr>
          <w:hyperlink w:anchor="_TOC_250003">
            <w:r>
              <w:rPr>
                <w:webHidden/>
                <w:rStyle w:val="IndexLink"/>
                <w:w w:val="110"/>
              </w:rPr>
              <w:t>Teacher</w:t>
            </w:r>
            <w:r>
              <w:rPr>
                <w:rStyle w:val="IndexLink"/>
                <w:spacing w:val="-2"/>
                <w:w w:val="105"/>
              </w:rPr>
              <w:t xml:space="preserve">-student </w:t>
            </w:r>
            <w:r>
              <w:rPr>
                <w:rStyle w:val="IndexLink"/>
                <w:w w:val="110"/>
              </w:rPr>
              <w:t>interaction</w:t>
            </w:r>
            <w:r>
              <w:rPr>
                <w:rStyle w:val="IndexLink"/>
              </w:rPr>
              <w:tab/>
            </w:r>
            <w:r>
              <w:rPr>
                <w:rStyle w:val="IndexLink"/>
                <w:spacing w:val="-5"/>
                <w:w w:val="110"/>
              </w:rPr>
              <w:t>10</w:t>
            </w:r>
          </w:hyperlink>
        </w:p>
        <w:p>
          <w:pPr>
            <w:pStyle w:val="TOC2"/>
            <w:numPr>
              <w:ilvl w:val="1"/>
              <w:numId w:val="5"/>
            </w:numPr>
            <w:tabs>
              <w:tab w:val="clear" w:pos="720"/>
              <w:tab w:val="left" w:pos="1826" w:leader="none"/>
              <w:tab w:val="right" w:pos="10334" w:leader="dot"/>
            </w:tabs>
            <w:ind w:left="1826" w:hanging="332"/>
            <w:rPr/>
          </w:pPr>
          <w:hyperlink w:anchor="_TOC_250002">
            <w:r>
              <w:rPr>
                <w:webHidden/>
                <w:rStyle w:val="IndexLink"/>
                <w:w w:val="105"/>
              </w:rPr>
              <w:t xml:space="preserve">Exit </w:t>
            </w:r>
            <w:r>
              <w:rPr>
                <w:rStyle w:val="IndexLink"/>
                <w:spacing w:val="-2"/>
                <w:w w:val="110"/>
              </w:rPr>
              <w:t>interviews</w:t>
            </w:r>
            <w:r>
              <w:rPr>
                <w:rStyle w:val="IndexLink"/>
              </w:rPr>
              <w:tab/>
            </w:r>
            <w:r>
              <w:rPr>
                <w:rStyle w:val="IndexLink"/>
                <w:spacing w:val="-5"/>
                <w:w w:val="110"/>
              </w:rPr>
              <w:t>10</w:t>
            </w:r>
          </w:hyperlink>
        </w:p>
        <w:p>
          <w:pPr>
            <w:pStyle w:val="TOC1"/>
            <w:tabs>
              <w:tab w:val="clear" w:pos="720"/>
              <w:tab w:val="right" w:pos="10334" w:leader="dot"/>
            </w:tabs>
            <w:rPr/>
          </w:pPr>
          <w:hyperlink w:anchor="_TOC_250001">
            <w:r>
              <w:rPr>
                <w:webHidden/>
                <w:rStyle w:val="IndexLink"/>
              </w:rPr>
              <w:t xml:space="preserve">H6 </w:t>
            </w:r>
            <w:r>
              <w:rPr>
                <w:rStyle w:val="IndexLink"/>
                <w:spacing w:val="-2"/>
              </w:rPr>
              <w:t>Funding</w:t>
            </w:r>
            <w:r>
              <w:rPr>
                <w:rStyle w:val="IndexLink"/>
              </w:rPr>
              <w:tab/>
            </w:r>
            <w:r>
              <w:rPr>
                <w:rStyle w:val="IndexLink"/>
                <w:spacing w:val="-7"/>
              </w:rPr>
              <w:t>11</w:t>
            </w:r>
          </w:hyperlink>
        </w:p>
        <w:p>
          <w:pPr>
            <w:pStyle w:val="TOC1"/>
            <w:tabs>
              <w:tab w:val="clear" w:pos="720"/>
              <w:tab w:val="right" w:pos="10334" w:leader="dot"/>
            </w:tabs>
            <w:spacing w:before="194" w:after="0"/>
            <w:rPr/>
          </w:pPr>
          <w:hyperlink w:anchor="_TOC_250000">
            <w:r>
              <w:rPr>
                <w:webHidden/>
                <w:rStyle w:val="IndexLink"/>
              </w:rPr>
              <w:t xml:space="preserve">H7 </w:t>
            </w:r>
            <w:r>
              <w:rPr>
                <w:rStyle w:val="IndexLink"/>
                <w:spacing w:val="-2"/>
              </w:rPr>
              <w:t>Conclusion</w:t>
            </w:r>
            <w:r>
              <w:rPr>
                <w:rStyle w:val="IndexLink"/>
              </w:rPr>
              <w:tab/>
            </w:r>
            <w:r>
              <w:rPr>
                <w:rStyle w:val="IndexLink"/>
                <w:spacing w:val="-7"/>
              </w:rPr>
              <w:t>12</w:t>
            </w:r>
          </w:hyperlink>
          <w:r>
            <w:rPr>
              <w:rStyle w:val="IndexLink"/>
              <w:spacing w:val="-7"/>
            </w:rPr>
            <w:fldChar w:fldCharType="end"/>
          </w:r>
        </w:p>
      </w:sdtContent>
    </w:sdt>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 w:right="141" w:gutter="0" w:header="706" w:top="960" w:footer="1054" w:bottom="1240"/>
          <w:pgNumType w:start="1" w:fmt="decimal"/>
          <w:formProt w:val="false"/>
          <w:textDirection w:val="lrTb"/>
          <w:docGrid w:type="default" w:linePitch="100" w:charSpace="4096"/>
        </w:sectPr>
        <w:pStyle w:val="Normal"/>
        <w:widowControl w:val="false"/>
        <w:bidi w:val="0"/>
        <w:spacing w:before="0" w:after="0"/>
        <w:jc w:val="left"/>
        <w:rPr>
          <w:rFonts w:ascii="Arial" w:hAnsi="Arial" w:eastAsia="Arial" w:cs="Arial"/>
          <w:lang w:val="nl-NL"/>
        </w:rPr>
      </w:pPr>
      <w:r>
        <w:rPr>
          <w:rFonts w:eastAsia="Arial" w:cs="Arial"/>
          <w:lang w:val="nl-NL"/>
        </w:rPr>
      </w:r>
    </w:p>
    <w:p>
      <w:pPr>
        <w:pStyle w:val="BodyText"/>
        <w:spacing w:before="130" w:after="0"/>
        <w:rPr>
          <w:sz w:val="26"/>
        </w:rPr>
      </w:pPr>
      <w:r>
        <w:rPr>
          <w:sz w:val="26"/>
        </w:rPr>
      </w:r>
    </w:p>
    <w:p>
      <w:pPr>
        <w:pStyle w:val="Normal"/>
        <w:ind w:left="1274" w:hanging="0"/>
        <w:jc w:val="both"/>
        <w:rPr>
          <w:rFonts w:ascii="Arial Black" w:hAnsi="Arial Black"/>
          <w:sz w:val="26"/>
          <w:lang w:val="en-GB"/>
        </w:rPr>
      </w:pPr>
      <w:r>
        <w:rPr>
          <w:rFonts w:ascii="Arial Black" w:hAnsi="Arial Black"/>
          <w:color w:val="C52B2F"/>
          <w:w w:val="85"/>
          <w:sz w:val="27"/>
          <w:lang w:val="en-GB"/>
        </w:rPr>
        <w:t xml:space="preserve">H1 </w:t>
      </w:r>
      <w:r>
        <w:rPr>
          <w:rFonts w:ascii="Arial Black" w:hAnsi="Arial Black"/>
          <w:color w:val="C52B2F"/>
          <w:spacing w:val="-2"/>
          <w:w w:val="95"/>
          <w:sz w:val="27"/>
          <w:lang w:val="en-GB"/>
        </w:rPr>
        <w:t>Introduction</w:t>
      </w:r>
    </w:p>
    <w:p>
      <w:pPr>
        <w:pStyle w:val="BodyText"/>
        <w:spacing w:lineRule="auto" w:line="343" w:before="87" w:after="0"/>
        <w:ind w:left="1274" w:right="1269" w:hanging="0"/>
        <w:jc w:val="both"/>
        <w:rPr>
          <w:lang w:val="en-GB"/>
        </w:rPr>
      </w:pPr>
      <w:r>
        <w:rPr>
          <w:w w:val="110"/>
          <w:lang w:val="en-GB"/>
        </w:rPr>
        <w:t>The Netherlands wants to be among the top five knowledge economies of the Organisation for Economic Co-operation and Development (OECD). Achieving this will require a great deal of additional investment. It is also very important that current investments are used sparingly and efficiently. To achieve this, the best must be made of both the institutions and the students. To this end, it is vitally important that the right student ends up in the right place. The most obvious consequences of poor matching between institution and student are dropouts and study delays. This is not always a bad thing; dropouts are inherent in our education system, with early choices having to be made in secondary education. Changing courses also contributes to the student's development. However, this does not alter the fact that dropout rates are currently too high and that this costs society, institutions and students money and time that could have been better spent. The total cost of dropouts to society has been estimated by the ROA at 5.7 billion.</w:t>
      </w:r>
      <w:r>
        <w:rPr>
          <w:w w:val="110"/>
          <w:vertAlign w:val="superscript"/>
          <w:lang w:val="en-GB"/>
        </w:rPr>
        <w:t>1</w:t>
      </w:r>
      <w:r>
        <w:rPr>
          <w:w w:val="110"/>
          <w:lang w:val="en-GB"/>
        </w:rPr>
        <w:t xml:space="preserve">  The main causes of dropout are poor study choice, the perceived quality of education and the student's social connection with the </w:t>
      </w:r>
      <w:r>
        <w:rPr>
          <w:spacing w:val="-2"/>
          <w:w w:val="110"/>
          <w:lang w:val="en-GB"/>
        </w:rPr>
        <w:t xml:space="preserve">programme. </w:t>
      </w:r>
      <w:r>
        <w:rPr>
          <w:spacing w:val="-2"/>
          <w:w w:val="110"/>
          <w:vertAlign w:val="superscript"/>
          <w:lang w:val="en-GB"/>
        </w:rPr>
        <w:t>2</w:t>
      </w:r>
    </w:p>
    <w:p>
      <w:pPr>
        <w:pStyle w:val="BodyText"/>
        <w:spacing w:lineRule="auto" w:line="343" w:before="210" w:after="0"/>
        <w:ind w:left="1274" w:right="1264" w:hanging="0"/>
        <w:jc w:val="both"/>
        <w:rPr>
          <w:lang w:val="en-GB"/>
        </w:rPr>
      </w:pPr>
      <w:r>
        <w:rPr>
          <w:w w:val="115"/>
          <w:lang w:val="en-GB"/>
        </w:rPr>
        <w:t xml:space="preserve">To solve this problem, we propose a four-step plan. The first step is to provide good, objective study information. If the information is objective, it will be easier to anticipate the quality of the education and this will not lead to disappointment and dropout. Prospective students can </w:t>
      </w:r>
      <w:r>
        <w:rPr>
          <w:w w:val="110"/>
          <w:lang w:val="en-GB"/>
        </w:rPr>
        <w:t>take responsibility</w:t>
      </w:r>
      <w:r>
        <w:rPr>
          <w:w w:val="115"/>
          <w:lang w:val="en-GB"/>
        </w:rPr>
        <w:t xml:space="preserve"> for themselves </w:t>
      </w:r>
      <w:r>
        <w:rPr>
          <w:w w:val="110"/>
          <w:lang w:val="en-GB"/>
        </w:rPr>
        <w:t>and make a well-considered decision.</w:t>
      </w:r>
    </w:p>
    <w:p>
      <w:pPr>
        <w:pStyle w:val="BodyText"/>
        <w:spacing w:lineRule="auto" w:line="343" w:before="204" w:after="0"/>
        <w:ind w:left="1274" w:right="1271" w:hanging="0"/>
        <w:jc w:val="both"/>
        <w:rPr>
          <w:lang w:val="en-GB"/>
        </w:rPr>
      </w:pPr>
      <w:r>
        <w:rPr>
          <w:w w:val="110"/>
          <w:lang w:val="en-GB"/>
        </w:rPr>
        <w:t>The second step is a well-guided study choice process. This should not only result in a well-considered decision regarding the chosen programme, but should also empower prospective students to dare to make the right choice.</w:t>
      </w:r>
    </w:p>
    <w:p>
      <w:pPr>
        <w:pStyle w:val="BodyText"/>
        <w:spacing w:lineRule="auto" w:line="338" w:before="205" w:after="0"/>
        <w:ind w:left="1274" w:right="1268" w:hanging="0"/>
        <w:jc w:val="both"/>
        <w:rPr>
          <w:lang w:val="en-GB"/>
        </w:rPr>
      </w:pPr>
      <w:r>
        <w:rPr>
          <w:w w:val="110"/>
          <w:lang w:val="en-GB"/>
        </w:rPr>
        <w:t>The third step is an intake interview/assessment in which the student and the institution get a clear picture of each other so that they can change institutions or programmes in time if expectations do not match. This is important because, ultimately, education is something that must be done together.</w:t>
      </w:r>
    </w:p>
    <w:p>
      <w:pPr>
        <w:pStyle w:val="BodyText"/>
        <w:spacing w:lineRule="auto" w:line="343" w:before="209" w:after="0"/>
        <w:ind w:left="1274" w:right="1271" w:hanging="0"/>
        <w:jc w:val="both"/>
        <w:rPr>
          <w:lang w:val="en-GB"/>
        </w:rPr>
      </w:pPr>
      <w:r>
        <w:rPr>
          <w:w w:val="110"/>
          <w:lang w:val="en-GB"/>
        </w:rPr>
        <w:t>The final step is a support programme during the course, in which progress and problems, but also opportunities, are discussed. This allows the student's talent to be fully developed and enables the institution and the student to get the most out of each other.</w:t>
      </w:r>
    </w:p>
    <w:p>
      <w:pPr>
        <w:pStyle w:val="BodyText"/>
        <w:spacing w:lineRule="auto" w:line="338" w:before="205" w:after="0"/>
        <w:ind w:left="1274" w:right="1270" w:hanging="0"/>
        <w:jc w:val="both"/>
        <w:rPr>
          <w:lang w:val="en-GB"/>
        </w:rPr>
      </w:pPr>
      <w:r>
        <w:rPr>
          <w:w w:val="115"/>
          <w:lang w:val="en-GB"/>
        </w:rPr>
        <w:t>All this should ensure that both the institution and the student save effort, time and money, which can then be better spent elsewhere. The LSVb expects such an increase in study results and reduction in drop-out rates that the binding study advice (BSA) can be abolished.</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76" w:after="0"/>
        <w:rPr>
          <w:sz w:val="20"/>
          <w:lang w:val="en-GB"/>
        </w:rPr>
      </w:pPr>
      <w:r>
        <w:rPr>
          <w:sz w:val="20"/>
          <w:lang w:val="en-GB"/>
        </w:rPr>
        <mc:AlternateContent>
          <mc:Choice Requires="wps">
            <w:drawing>
              <wp:anchor behindDoc="1" distT="0" distB="0" distL="0" distR="0" simplePos="0" locked="0" layoutInCell="0" allowOverlap="1" relativeHeight="20">
                <wp:simplePos x="0" y="0"/>
                <wp:positionH relativeFrom="page">
                  <wp:posOffset>899160</wp:posOffset>
                </wp:positionH>
                <wp:positionV relativeFrom="paragraph">
                  <wp:posOffset>210185</wp:posOffset>
                </wp:positionV>
                <wp:extent cx="1828800" cy="6350"/>
                <wp:effectExtent l="0" t="0" r="0" b="0"/>
                <wp:wrapTopAndBottom/>
                <wp:docPr id="12" name="Graphic 12"/>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auto" w:line="242" w:before="64" w:after="0"/>
        <w:ind w:left="1274" w:right="1269" w:hanging="0"/>
        <w:jc w:val="both"/>
        <w:rPr>
          <w:rFonts w:ascii="Calibri" w:hAnsi="Calibri"/>
          <w:sz w:val="16"/>
          <w:lang w:val="en-GB"/>
        </w:rPr>
      </w:pPr>
      <w:r>
        <w:rPr>
          <w:rFonts w:ascii="Calibri" w:hAnsi="Calibri"/>
          <w:position w:val="10"/>
          <w:sz w:val="13"/>
          <w:lang w:val="en-GB"/>
        </w:rPr>
        <w:t>1</w:t>
      </w:r>
      <w:r>
        <w:rPr>
          <w:rFonts w:ascii="Calibri" w:hAnsi="Calibri"/>
          <w:sz w:val="16"/>
          <w:lang w:val="en-GB"/>
        </w:rPr>
        <w:t xml:space="preserve"> The labour market by education and occupation until 2008, ROA 2003. </w:t>
      </w:r>
      <w:r>
        <w:rPr>
          <w:rFonts w:ascii="Calibri" w:hAnsi="Calibri"/>
          <w:color w:val="292526"/>
          <w:sz w:val="16"/>
          <w:lang w:val="en-GB"/>
        </w:rPr>
        <w:t>The costs of studying for too long have been calculated by multiplying the difference between the (net) duration of the programme and the standard of 4 years for higher professional education and university education and 3 years for senior secondary vocational education by the average gross salary of graduates.</w:t>
      </w:r>
    </w:p>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41" w:right="141" w:gutter="0" w:header="706" w:top="960" w:footer="1153" w:bottom="1340"/>
          <w:pgNumType w:fmt="decimal"/>
          <w:formProt w:val="false"/>
          <w:textDirection w:val="lrTb"/>
          <w:docGrid w:type="default" w:linePitch="100" w:charSpace="4096"/>
        </w:sectPr>
        <w:pStyle w:val="Normal"/>
        <w:spacing w:lineRule="exact" w:line="231"/>
        <w:ind w:left="1274" w:hanging="0"/>
        <w:jc w:val="both"/>
        <w:rPr>
          <w:rFonts w:ascii="Calibri" w:hAnsi="Calibri"/>
          <w:sz w:val="16"/>
        </w:rPr>
      </w:pPr>
      <w:r>
        <w:rPr>
          <w:rFonts w:ascii="Calibri" w:hAnsi="Calibri"/>
          <w:position w:val="10"/>
          <w:sz w:val="13"/>
        </w:rPr>
        <w:t>2</w:t>
      </w:r>
      <w:r>
        <w:rPr>
          <w:rFonts w:ascii="Calibri" w:hAnsi="Calibri"/>
          <w:sz w:val="16"/>
        </w:rPr>
        <w:t xml:space="preserve">  Serveriens, S. Stoppen met de tweedegraads lerarenopleiding (Ending second-degree teacher training) 2009; Inspectorate, aandacht voor diversiteit in het onderwijs (Focus on diversity in education)</w:t>
      </w:r>
      <w:r>
        <w:rPr>
          <w:rFonts w:ascii="Calibri" w:hAnsi="Calibri"/>
          <w:spacing w:val="-4"/>
          <w:sz w:val="16"/>
        </w:rPr>
        <w:t xml:space="preserve"> 2009</w:t>
      </w:r>
    </w:p>
    <w:p>
      <w:pPr>
        <w:pStyle w:val="BodyText"/>
        <w:rPr>
          <w:rFonts w:ascii="Calibri" w:hAnsi="Calibri"/>
        </w:rPr>
      </w:pPr>
      <w:r>
        <w:rPr>
          <w:rFonts w:ascii="Calibri" w:hAnsi="Calibri"/>
        </w:rPr>
      </w:r>
    </w:p>
    <w:p>
      <w:pPr>
        <w:pStyle w:val="BodyText"/>
        <w:spacing w:before="10" w:after="0"/>
        <w:rPr>
          <w:rFonts w:ascii="Calibri" w:hAnsi="Calibri"/>
        </w:rPr>
      </w:pPr>
      <w:r>
        <w:rPr>
          <w:rFonts w:ascii="Calibri" w:hAnsi="Calibri"/>
        </w:rPr>
      </w:r>
    </w:p>
    <w:p>
      <w:pPr>
        <w:pStyle w:val="BodyText"/>
        <w:spacing w:lineRule="auto" w:line="336"/>
        <w:ind w:left="1274" w:right="1272" w:hanging="0"/>
        <w:jc w:val="both"/>
        <w:rPr>
          <w:lang w:val="en-GB"/>
        </w:rPr>
      </w:pPr>
      <w:r>
        <w:rPr>
          <w:w w:val="110"/>
          <w:lang w:val="en-GB"/>
        </w:rPr>
        <w:t xml:space="preserve">The main objective is to align both the level and the concept of education with the motivation, interests and needs of the target group. </w:t>
      </w:r>
      <w:r>
        <w:rPr>
          <w:w w:val="110"/>
          <w:vertAlign w:val="superscript"/>
          <w:lang w:val="en-GB"/>
        </w:rPr>
        <w:t>3</w:t>
      </w:r>
    </w:p>
    <w:p>
      <w:pPr>
        <w:pStyle w:val="BodyText"/>
        <w:spacing w:lineRule="auto" w:line="338" w:before="210" w:after="0"/>
        <w:ind w:left="1274" w:right="1268" w:hanging="0"/>
        <w:jc w:val="both"/>
        <w:rPr>
          <w:rFonts w:ascii="Calibri" w:hAnsi="Calibri"/>
          <w:lang w:val="en-GB"/>
        </w:rPr>
      </w:pPr>
      <w:r>
        <w:rPr>
          <w:w w:val="110"/>
          <w:lang w:val="en-GB"/>
        </w:rPr>
        <w:t xml:space="preserve">In addition, the LSVb strongly opposes selection processes in which the programme and institution determine </w:t>
      </w:r>
      <w:r>
        <w:rPr>
          <w:w w:val="115"/>
          <w:lang w:val="en-GB"/>
        </w:rPr>
        <w:t xml:space="preserve">which students are allowed to study the programme and which are not. Ultimately, the responsibility for choosing the right programme must lie with the student. It is important that students take responsibility for their own choices and retain their freedom of choice. As stated in the </w:t>
      </w:r>
      <w:r>
        <w:rPr>
          <w:w w:val="110"/>
          <w:lang w:val="en-GB"/>
        </w:rPr>
        <w:t>Veerman report</w:t>
      </w:r>
      <w:r>
        <w:rPr>
          <w:w w:val="115"/>
          <w:lang w:val="en-GB"/>
        </w:rPr>
        <w:t xml:space="preserve">, </w:t>
      </w:r>
      <w:r>
        <w:rPr>
          <w:w w:val="110"/>
          <w:lang w:val="en-GB"/>
        </w:rPr>
        <w:t xml:space="preserve">it is therefore important </w:t>
      </w:r>
      <w:r>
        <w:rPr>
          <w:rFonts w:ascii="Calibri" w:hAnsi="Calibri"/>
          <w:w w:val="110"/>
          <w:lang w:val="en-GB"/>
        </w:rPr>
        <w:t>to facilitate and challenge self-selection as much as possible.</w:t>
      </w:r>
    </w:p>
    <w:p>
      <w:pPr>
        <w:pStyle w:val="BodyText"/>
        <w:rPr>
          <w:rFonts w:ascii="Calibri" w:hAnsi="Calibri"/>
          <w:lang w:val="en-GB"/>
        </w:rPr>
      </w:pPr>
      <w:r>
        <w:rPr>
          <w:rFonts w:ascii="Calibri" w:hAnsi="Calibri"/>
          <w:lang w:val="en-GB"/>
        </w:rPr>
      </w:r>
    </w:p>
    <w:p>
      <w:pPr>
        <w:pStyle w:val="BodyText"/>
        <w:spacing w:before="200" w:after="0"/>
        <w:rPr>
          <w:rFonts w:ascii="Calibri" w:hAnsi="Calibri"/>
          <w:lang w:val="en-GB"/>
        </w:rPr>
      </w:pPr>
      <w:r>
        <w:rPr>
          <w:rFonts w:ascii="Calibri" w:hAnsi="Calibri"/>
          <w:lang w:val="en-GB"/>
        </w:rPr>
      </w:r>
    </w:p>
    <w:p>
      <w:pPr>
        <w:pStyle w:val="Heading1"/>
        <w:rPr>
          <w:b w:val="false"/>
          <w:lang w:val="en-GB"/>
        </w:rPr>
      </w:pPr>
      <w:bookmarkStart w:id="1" w:name="_TOC_250019"/>
      <w:r>
        <w:rPr>
          <w:b w:val="false"/>
          <w:color w:val="C52B2F"/>
          <w:w w:val="85"/>
          <w:sz w:val="27"/>
          <w:lang w:val="en-GB"/>
        </w:rPr>
        <w:t xml:space="preserve">H2 Good objective </w:t>
      </w:r>
      <w:r>
        <w:rPr>
          <w:b w:val="false"/>
          <w:color w:val="C52B2F"/>
          <w:spacing w:val="-2"/>
          <w:w w:val="85"/>
          <w:sz w:val="27"/>
          <w:lang w:val="en-GB"/>
        </w:rPr>
        <w:t>study information</w:t>
      </w:r>
      <w:bookmarkEnd w:id="1"/>
      <w:r>
        <w:rPr>
          <w:b w:val="false"/>
          <w:color w:val="C52B2F"/>
          <w:spacing w:val="-2"/>
          <w:w w:val="85"/>
          <w:sz w:val="27"/>
          <w:lang w:val="en-GB"/>
        </w:rPr>
        <w:t xml:space="preserve"> </w:t>
      </w:r>
    </w:p>
    <w:p>
      <w:pPr>
        <w:pStyle w:val="BodyText"/>
        <w:spacing w:lineRule="auto" w:line="343" w:before="87" w:after="0"/>
        <w:ind w:left="1274" w:right="1268" w:hanging="0"/>
        <w:jc w:val="both"/>
        <w:rPr>
          <w:lang w:val="en-GB"/>
        </w:rPr>
      </w:pPr>
      <w:r>
        <w:rPr>
          <w:w w:val="110"/>
          <w:lang w:val="en-GB"/>
        </w:rPr>
        <w:t xml:space="preserve">To ensure that students can make an informed choice, it is very important to provide good and honest information. This is an important element in choosing a course of study and thus in improving academic success. There are many ways to support secondary school pupils in their choice of study programme. However, this must be done in such a way that pupils gain a more realistic picture of a study programme than is currently the case at study fairs, information days and through enticing, trendy leaflets and gadgets. Among those </w:t>
      </w:r>
      <w:r>
        <w:rPr>
          <w:spacing w:val="-2"/>
          <w:w w:val="110"/>
          <w:lang w:val="en-GB"/>
        </w:rPr>
        <w:t>who drop out</w:t>
      </w:r>
    </w:p>
    <w:p>
      <w:pPr>
        <w:pStyle w:val="BodyText"/>
        <w:spacing w:before="7" w:after="0"/>
        <w:ind w:left="1274" w:hanging="0"/>
        <w:jc w:val="both"/>
        <w:rPr>
          <w:lang w:val="en-GB"/>
        </w:rPr>
      </w:pPr>
      <w:r>
        <w:rPr>
          <w:w w:val="110"/>
          <w:lang w:val="en-GB"/>
        </w:rPr>
        <w:t xml:space="preserve">, 71% obtained information solely from brochures, so it is very important that </w:t>
      </w:r>
      <w:r>
        <w:rPr>
          <w:spacing w:val="-4"/>
          <w:w w:val="110"/>
          <w:lang w:val="en-GB"/>
        </w:rPr>
        <w:t>this</w:t>
      </w:r>
    </w:p>
    <w:p>
      <w:pPr>
        <w:pStyle w:val="BodyText"/>
        <w:spacing w:lineRule="auto" w:line="336" w:before="94" w:after="0"/>
        <w:ind w:left="1274" w:right="1269" w:hanging="0"/>
        <w:jc w:val="both"/>
        <w:rPr>
          <w:lang w:val="en-GB"/>
        </w:rPr>
      </w:pPr>
      <w:r>
        <w:rPr>
          <w:w w:val="110"/>
          <w:lang w:val="en-GB"/>
        </w:rPr>
        <w:t>information is objective and accurate.</w:t>
      </w:r>
      <w:r>
        <w:rPr>
          <w:w w:val="110"/>
          <w:vertAlign w:val="superscript"/>
          <w:lang w:val="en-GB"/>
        </w:rPr>
        <w:t>4</w:t>
      </w:r>
      <w:r>
        <w:rPr>
          <w:w w:val="110"/>
          <w:lang w:val="en-GB"/>
        </w:rPr>
        <w:t xml:space="preserve">  Research by the LSVb shows that this information is currently often misleading and inaccurate.</w:t>
      </w:r>
      <w:r>
        <w:rPr>
          <w:w w:val="110"/>
          <w:vertAlign w:val="superscript"/>
          <w:lang w:val="en-GB"/>
        </w:rPr>
        <w:t>5</w:t>
      </w:r>
    </w:p>
    <w:p>
      <w:pPr>
        <w:pStyle w:val="BodyText"/>
        <w:spacing w:lineRule="auto" w:line="343" w:before="209" w:after="0"/>
        <w:ind w:left="1274" w:right="1269" w:hanging="0"/>
        <w:jc w:val="both"/>
        <w:rPr>
          <w:lang w:val="en-GB"/>
        </w:rPr>
      </w:pPr>
      <w:r>
        <w:rPr>
          <w:w w:val="110"/>
          <w:lang w:val="en-GB"/>
        </w:rPr>
        <w:t>Institutions must present a balanced picture of the programme, highlighting not only the positive aspects but also the less favourable aspects. By paying more attention to factors such as student evaluations of the programme, teaching methods, realistic career prospects, courses offered and study load, a more objective picture will emerge. Institutions expect students to devote their entire study period to their studies. In order to demand this of students, the least a student can expect from the institution is that it provides an honest and objective picture of the programme in which he or she is going to invest all that time and money.</w:t>
      </w:r>
    </w:p>
    <w:p>
      <w:pPr>
        <w:pStyle w:val="BodyText"/>
        <w:spacing w:lineRule="auto" w:line="343" w:before="208" w:after="0"/>
        <w:ind w:left="1274" w:right="1270" w:hanging="0"/>
        <w:jc w:val="both"/>
        <w:rPr>
          <w:lang w:val="en-GB"/>
        </w:rPr>
      </w:pPr>
      <w:r>
        <w:rPr>
          <w:w w:val="110"/>
          <w:lang w:val="en-GB"/>
        </w:rPr>
        <w:t>Good orientation is important to prevent dropouts later on. Research shows that 56% of students do not find their programme interesting after all. In addition, 24% of students drop out due to the poor quality of the education offered.</w:t>
      </w:r>
      <w:r>
        <w:rPr>
          <w:w w:val="110"/>
          <w:vertAlign w:val="superscript"/>
          <w:lang w:val="en-GB"/>
        </w:rPr>
        <w:t>6</w:t>
      </w:r>
      <w:r>
        <w:rPr>
          <w:w w:val="110"/>
          <w:lang w:val="en-GB"/>
        </w:rPr>
        <w:t xml:space="preserve">  All this leads to a lack of motivation, which ultimately results in students dropping out. This wastes time and money for both the student and the institution, and leaves lecturers faced with unmotivated students. It is important that students take responsibility for their choice of study programme, but without objective information this is not possible and students will end up disappointed and drop out. When the information is adequate, this can be a good first step in a successful study choice process.</w:t>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122" w:after="0"/>
        <w:rPr>
          <w:sz w:val="20"/>
          <w:lang w:val="en-GB"/>
        </w:rPr>
      </w:pPr>
      <w:r>
        <w:rPr>
          <w:sz w:val="20"/>
          <w:lang w:val="en-GB"/>
        </w:rPr>
        <mc:AlternateContent>
          <mc:Choice Requires="wps">
            <w:drawing>
              <wp:anchor behindDoc="1" distT="0" distB="0" distL="0" distR="0" simplePos="0" locked="0" layoutInCell="0" allowOverlap="1" relativeHeight="21">
                <wp:simplePos x="0" y="0"/>
                <wp:positionH relativeFrom="page">
                  <wp:posOffset>899160</wp:posOffset>
                </wp:positionH>
                <wp:positionV relativeFrom="paragraph">
                  <wp:posOffset>239395</wp:posOffset>
                </wp:positionV>
                <wp:extent cx="1828800" cy="6350"/>
                <wp:effectExtent l="0" t="0" r="0" b="0"/>
                <wp:wrapTopAndBottom/>
                <wp:docPr id="21" name="Graphic 13"/>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6"/>
                              </a:lnTo>
                              <a:lnTo>
                                <a:pt x="1828800" y="6096"/>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exact" w:line="256" w:before="59" w:after="0"/>
        <w:ind w:left="1274" w:hanging="0"/>
        <w:rPr>
          <w:rFonts w:ascii="Calibri" w:hAnsi="Calibri"/>
          <w:sz w:val="16"/>
          <w:lang w:val="en-GB"/>
        </w:rPr>
      </w:pPr>
      <w:r>
        <w:rPr>
          <w:rFonts w:ascii="Calibri" w:hAnsi="Calibri"/>
          <w:position w:val="10"/>
          <w:sz w:val="13"/>
          <w:lang w:val="en-GB"/>
        </w:rPr>
        <w:t>3</w:t>
      </w:r>
      <w:r>
        <w:rPr>
          <w:rFonts w:ascii="Calibri" w:hAnsi="Calibri"/>
          <w:sz w:val="16"/>
          <w:lang w:val="en-GB"/>
        </w:rPr>
        <w:t xml:space="preserve">  Differentiation in three ways for the sake of quality and diversity in education p.</w:t>
      </w:r>
      <w:r>
        <w:rPr>
          <w:rFonts w:ascii="Calibri" w:hAnsi="Calibri"/>
          <w:spacing w:val="-5"/>
          <w:sz w:val="16"/>
          <w:lang w:val="en-GB"/>
        </w:rPr>
        <w:t xml:space="preserve"> 38</w:t>
      </w:r>
    </w:p>
    <w:p>
      <w:pPr>
        <w:pStyle w:val="Normal"/>
        <w:spacing w:lineRule="exact" w:line="245"/>
        <w:ind w:left="1274" w:hanging="0"/>
        <w:rPr>
          <w:rFonts w:ascii="Calibri" w:hAnsi="Calibri"/>
          <w:sz w:val="16"/>
          <w:lang w:val="en-GB"/>
        </w:rPr>
      </w:pPr>
      <w:r>
        <w:rPr>
          <w:rFonts w:ascii="Calibri" w:hAnsi="Calibri"/>
          <w:position w:val="10"/>
          <w:sz w:val="13"/>
          <w:lang w:val="en-GB"/>
        </w:rPr>
        <w:t>4</w:t>
      </w:r>
      <w:r>
        <w:rPr>
          <w:rFonts w:ascii="Calibri" w:hAnsi="Calibri"/>
          <w:sz w:val="16"/>
          <w:lang w:val="en-GB"/>
        </w:rPr>
        <w:t xml:space="preserve">  Start Monitor</w:t>
      </w:r>
      <w:r>
        <w:rPr>
          <w:rFonts w:ascii="Calibri" w:hAnsi="Calibri"/>
          <w:spacing w:val="-4"/>
          <w:sz w:val="16"/>
          <w:lang w:val="en-GB"/>
        </w:rPr>
        <w:t xml:space="preserve"> 2008-2009</w:t>
      </w:r>
    </w:p>
    <w:p>
      <w:pPr>
        <w:pStyle w:val="Normal"/>
        <w:spacing w:lineRule="exact" w:line="245"/>
        <w:ind w:left="1274" w:hanging="0"/>
        <w:rPr>
          <w:rFonts w:ascii="Calibri" w:hAnsi="Calibri"/>
          <w:sz w:val="16"/>
          <w:lang w:val="en-GB"/>
        </w:rPr>
      </w:pPr>
      <w:r>
        <w:rPr>
          <w:rFonts w:ascii="Calibri" w:hAnsi="Calibri"/>
          <w:position w:val="10"/>
          <w:sz w:val="13"/>
          <w:lang w:val="en-GB"/>
        </w:rPr>
        <w:t>5</w:t>
      </w:r>
      <w:r>
        <w:rPr>
          <w:rFonts w:ascii="Calibri" w:hAnsi="Calibri"/>
          <w:sz w:val="16"/>
          <w:lang w:val="en-GB"/>
        </w:rPr>
        <w:t xml:space="preserve">  Research Study Information: Deception or Information, 2011 </w:t>
      </w:r>
      <w:r>
        <w:rPr>
          <w:rFonts w:ascii="Calibri" w:hAnsi="Calibri"/>
          <w:spacing w:val="-4"/>
          <w:sz w:val="16"/>
          <w:lang w:val="en-GB"/>
        </w:rPr>
        <w:t>LSVb</w:t>
      </w:r>
    </w:p>
    <w:p>
      <w:pPr>
        <w:sectPr>
          <w:headerReference w:type="even" r:id="rId20"/>
          <w:headerReference w:type="default" r:id="rId21"/>
          <w:headerReference w:type="first" r:id="rId22"/>
          <w:footerReference w:type="even" r:id="rId23"/>
          <w:footerReference w:type="default" r:id="rId24"/>
          <w:footerReference w:type="first" r:id="rId25"/>
          <w:type w:val="nextPage"/>
          <w:pgSz w:w="11906" w:h="16838"/>
          <w:pgMar w:left="141" w:right="141" w:gutter="0" w:header="706" w:top="960" w:footer="1153" w:bottom="1340"/>
          <w:pgNumType w:fmt="decimal"/>
          <w:formProt w:val="false"/>
          <w:textDirection w:val="lrTb"/>
          <w:docGrid w:type="default" w:linePitch="100" w:charSpace="4096"/>
        </w:sectPr>
        <w:pStyle w:val="Normal"/>
        <w:spacing w:lineRule="exact" w:line="256"/>
        <w:ind w:left="1274" w:hanging="0"/>
        <w:rPr>
          <w:rFonts w:ascii="Calibri" w:hAnsi="Calibri"/>
          <w:sz w:val="16"/>
        </w:rPr>
      </w:pPr>
      <w:r>
        <w:rPr>
          <w:rFonts w:ascii="Calibri" w:hAnsi="Calibri"/>
          <w:position w:val="10"/>
          <w:sz w:val="13"/>
        </w:rPr>
        <w:t>6</w:t>
      </w:r>
      <w:r>
        <w:rPr>
          <w:rFonts w:ascii="Calibri" w:hAnsi="Calibri"/>
          <w:sz w:val="16"/>
        </w:rPr>
        <w:t xml:space="preserve">  Van den Broek, De Jong, Hampsink &amp; Sand,</w:t>
      </w:r>
      <w:r>
        <w:rPr>
          <w:rFonts w:ascii="Calibri" w:hAnsi="Calibri"/>
          <w:spacing w:val="-2"/>
          <w:sz w:val="16"/>
        </w:rPr>
        <w:t xml:space="preserve"> 2006a.</w:t>
      </w:r>
    </w:p>
    <w:p>
      <w:pPr>
        <w:pStyle w:val="BodyText"/>
        <w:spacing w:before="111" w:after="0"/>
        <w:rPr>
          <w:rFonts w:ascii="Calibri" w:hAnsi="Calibri"/>
          <w:sz w:val="26"/>
        </w:rPr>
      </w:pPr>
      <w:r>
        <w:rPr>
          <w:rFonts w:ascii="Calibri" w:hAnsi="Calibri"/>
          <w:sz w:val="26"/>
        </w:rPr>
      </w:r>
    </w:p>
    <w:p>
      <w:pPr>
        <w:pStyle w:val="Heading1"/>
        <w:rPr>
          <w:b w:val="false"/>
          <w:lang w:val="en-GB"/>
        </w:rPr>
      </w:pPr>
      <w:bookmarkStart w:id="2" w:name="_TOC_250018"/>
      <w:r>
        <w:rPr>
          <w:b w:val="false"/>
          <w:color w:val="C52B2F"/>
          <w:w w:val="85"/>
          <w:sz w:val="27"/>
          <w:lang w:val="en-GB"/>
        </w:rPr>
        <w:t>H3 Well-guided</w:t>
      </w:r>
      <w:bookmarkEnd w:id="2"/>
      <w:r>
        <w:rPr>
          <w:b w:val="false"/>
          <w:color w:val="C52B2F"/>
          <w:spacing w:val="-2"/>
          <w:w w:val="85"/>
          <w:sz w:val="27"/>
          <w:lang w:val="en-GB"/>
        </w:rPr>
        <w:t xml:space="preserve"> study choice process</w:t>
      </w:r>
    </w:p>
    <w:p>
      <w:pPr>
        <w:pStyle w:val="ListParagraph"/>
        <w:numPr>
          <w:ilvl w:val="1"/>
          <w:numId w:val="4"/>
        </w:numPr>
        <w:tabs>
          <w:tab w:val="clear" w:pos="720"/>
          <w:tab w:val="left" w:pos="1609" w:leader="none"/>
        </w:tabs>
        <w:spacing w:before="253" w:after="0"/>
        <w:ind w:left="1609" w:hanging="335"/>
        <w:rPr>
          <w:rFonts w:ascii="Arial Black" w:hAnsi="Arial Black"/>
          <w:sz w:val="19"/>
        </w:rPr>
      </w:pPr>
      <w:r>
        <w:rPr>
          <w:rFonts w:ascii="Arial Black" w:hAnsi="Arial Black"/>
          <w:color w:val="C52B2F"/>
          <w:spacing w:val="-2"/>
          <w:sz w:val="19"/>
        </w:rPr>
        <w:t>Study Choice 123</w:t>
      </w:r>
    </w:p>
    <w:p>
      <w:pPr>
        <w:pStyle w:val="BodyText"/>
        <w:spacing w:lineRule="auto" w:line="343" w:before="80" w:after="0"/>
        <w:ind w:left="1274" w:right="1267" w:hanging="0"/>
        <w:jc w:val="both"/>
        <w:rPr>
          <w:lang w:val="en-GB"/>
        </w:rPr>
      </w:pPr>
      <w:r>
        <w:rPr>
          <w:w w:val="110"/>
          <w:lang w:val="en-GB"/>
        </w:rPr>
        <w:t>In addition to good study information, there must also be a well-guided study choice process. Because in order to make a good study choice, it is important that students are well guided in this process and that the considerations they make are based on objective facts. One organisation that helps with this is Studiekeuze123. They offer a wide range of information, from admission requirements to student reviews. This enables students to gain a more objective picture of the programme, and comparison modules make it easy to compare different programmes and institutions. This allows students to make a well-informed decision about their future study choice.</w:t>
      </w:r>
      <w:r>
        <w:rPr>
          <w:w w:val="110"/>
          <w:vertAlign w:val="superscript"/>
          <w:lang w:val="en-GB"/>
        </w:rPr>
        <w:t>7</w:t>
      </w:r>
      <w:r>
        <w:rPr>
          <w:w w:val="110"/>
          <w:lang w:val="en-GB"/>
        </w:rPr>
        <w:t xml:space="preserve">  It is also possible to complete interest tests, and test methods are being developed to determine the most appropriate teaching method. This responds to the desired differentiation in higher education and allows students to choose the programme and institution that best suits their needs. Studiekeuze123 also offers teaching packages to guide the study choice process. In addition, Studiekeuze123 conducts the National Student Survey (NSE) every year. This is distributed by email to students at almost all Dutch higher education institutions. Based on the results of this survey, students' opinions about programmes and institutions are presented. These can also be found on their website and offer a good overview for prospective students.</w:t>
      </w:r>
    </w:p>
    <w:p>
      <w:pPr>
        <w:pStyle w:val="BodyText"/>
        <w:spacing w:lineRule="auto" w:line="336" w:before="213" w:after="0"/>
        <w:ind w:left="1274" w:right="1272" w:hanging="0"/>
        <w:jc w:val="both"/>
        <w:rPr>
          <w:lang w:val="en-GB"/>
        </w:rPr>
      </w:pPr>
      <w:r>
        <w:rPr>
          <w:w w:val="110"/>
          <w:lang w:val="en-GB"/>
        </w:rPr>
        <w:t>Currently, the information provided on the website is not always up to date. This is an area of concern and a plan is being developed to improve this.</w:t>
      </w:r>
    </w:p>
    <w:p>
      <w:pPr>
        <w:pStyle w:val="Heading2"/>
        <w:numPr>
          <w:ilvl w:val="1"/>
          <w:numId w:val="4"/>
        </w:numPr>
        <w:tabs>
          <w:tab w:val="clear" w:pos="720"/>
          <w:tab w:val="left" w:pos="1609" w:leader="none"/>
        </w:tabs>
        <w:spacing w:before="179" w:after="0"/>
        <w:ind w:left="1609" w:hanging="335"/>
        <w:rPr>
          <w:b w:val="false"/>
          <w:lang w:val="en-GB"/>
        </w:rPr>
      </w:pPr>
      <w:bookmarkStart w:id="3" w:name="_TOC_250017"/>
      <w:bookmarkEnd w:id="3"/>
      <w:r>
        <w:rPr>
          <w:b w:val="false"/>
          <w:color w:val="C52B2F"/>
          <w:spacing w:val="-4"/>
          <w:lang w:val="en-GB"/>
        </w:rPr>
        <w:t>Inclusion of study choice in the secondary education curriculum</w:t>
      </w:r>
    </w:p>
    <w:p>
      <w:pPr>
        <w:pStyle w:val="BodyText"/>
        <w:spacing w:lineRule="auto" w:line="343" w:before="75" w:after="0"/>
        <w:ind w:left="1274" w:right="1267" w:hanging="0"/>
        <w:jc w:val="both"/>
        <w:rPr>
          <w:lang w:val="en-GB"/>
        </w:rPr>
      </w:pPr>
      <w:r>
        <w:rPr>
          <w:w w:val="110"/>
          <w:lang w:val="en-GB"/>
        </w:rPr>
        <w:t>In order to achieve a better guided study choice process, it is advisable to include the subject of study choice in the compulsory curriculum of preparatory courses.</w:t>
      </w:r>
      <w:r>
        <w:rPr>
          <w:w w:val="110"/>
          <w:vertAlign w:val="superscript"/>
          <w:lang w:val="en-GB"/>
        </w:rPr>
        <w:t>8</w:t>
      </w:r>
      <w:r>
        <w:rPr>
          <w:w w:val="110"/>
          <w:lang w:val="en-GB"/>
        </w:rPr>
        <w:t xml:space="preserve">  This subject could be taught by the head of studies and consists of administering various interest tests, career choice and/or learning method tests and interaction about expectations and choices. Administering interest tests increases insight into the interests and possibilities of the student. This improved self-insight enables the student to make a more informed choice. Administering tests to determine which teaching method best suits the student ensures that a link can be made between the desired way of learning and the learning methods used by the institution. A more conscious choice of a learning method that suits the student will</w:t>
      </w:r>
    </w:p>
    <w:p>
      <w:pPr>
        <w:pStyle w:val="BodyText"/>
        <w:spacing w:lineRule="auto" w:line="343" w:before="10" w:after="0"/>
        <w:ind w:left="1274" w:right="1269" w:hanging="0"/>
        <w:jc w:val="both"/>
        <w:rPr>
          <w:lang w:val="en-GB"/>
        </w:rPr>
      </w:pPr>
      <w:r>
        <w:rPr>
          <w:w w:val="110"/>
          <w:lang w:val="en-GB"/>
        </w:rPr>
        <w:t xml:space="preserve">both reduce dropout rates and improve performance. </w:t>
      </w:r>
      <w:r>
        <w:rPr>
          <w:w w:val="110"/>
          <w:vertAlign w:val="superscript"/>
          <w:lang w:val="en-GB"/>
        </w:rPr>
        <w:t>9</w:t>
      </w:r>
      <w:r>
        <w:rPr>
          <w:w w:val="110"/>
          <w:lang w:val="en-GB"/>
        </w:rPr>
        <w:t xml:space="preserve">  Only 29% of prospective higher professional education students have taken a study or career choice test.</w:t>
      </w:r>
      <w:r>
        <w:rPr>
          <w:w w:val="110"/>
          <w:vertAlign w:val="superscript"/>
          <w:lang w:val="en-GB"/>
        </w:rPr>
        <w:t>10</w:t>
      </w:r>
      <w:r>
        <w:rPr>
          <w:w w:val="110"/>
          <w:lang w:val="en-GB"/>
        </w:rPr>
        <w:t xml:space="preserve">  By aiming to increase this percentage to 100%, dropout rates will be drastically reduced. If students know what they want from life, they can take responsibility for themselves and are much better able to make informed and motivated study choices.</w:t>
      </w:r>
    </w:p>
    <w:p>
      <w:pPr>
        <w:pStyle w:val="BodyText"/>
        <w:rPr>
          <w:sz w:val="20"/>
          <w:lang w:val="en-GB"/>
        </w:rPr>
      </w:pPr>
      <w:r>
        <w:rPr>
          <w:sz w:val="20"/>
          <w:lang w:val="en-GB"/>
        </w:rPr>
      </w:r>
    </w:p>
    <w:p>
      <w:pPr>
        <w:pStyle w:val="BodyText"/>
        <w:spacing w:before="163" w:after="0"/>
        <w:rPr>
          <w:sz w:val="20"/>
          <w:lang w:val="en-GB"/>
        </w:rPr>
      </w:pPr>
      <w:r>
        <w:rPr>
          <w:sz w:val="20"/>
          <w:lang w:val="en-GB"/>
        </w:rPr>
        <mc:AlternateContent>
          <mc:Choice Requires="wps">
            <w:drawing>
              <wp:anchor behindDoc="1" distT="0" distB="0" distL="0" distR="0" simplePos="0" locked="0" layoutInCell="0" allowOverlap="1" relativeHeight="22">
                <wp:simplePos x="0" y="0"/>
                <wp:positionH relativeFrom="page">
                  <wp:posOffset>899160</wp:posOffset>
                </wp:positionH>
                <wp:positionV relativeFrom="paragraph">
                  <wp:posOffset>264795</wp:posOffset>
                </wp:positionV>
                <wp:extent cx="1828800" cy="6350"/>
                <wp:effectExtent l="0" t="0" r="0" b="0"/>
                <wp:wrapTopAndBottom/>
                <wp:docPr id="28" name="Graphic 14"/>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before="64" w:after="0"/>
        <w:ind w:left="1274" w:hanging="0"/>
        <w:rPr>
          <w:rFonts w:ascii="Calibri" w:hAnsi="Calibri"/>
          <w:sz w:val="16"/>
          <w:lang w:val="en-GB"/>
        </w:rPr>
      </w:pPr>
      <w:r>
        <w:rPr>
          <w:rFonts w:ascii="Calibri" w:hAnsi="Calibri"/>
          <w:position w:val="10"/>
          <w:sz w:val="13"/>
          <w:lang w:val="en-GB"/>
        </w:rPr>
        <w:t>7</w:t>
      </w:r>
      <w:r>
        <w:rPr>
          <w:rFonts w:ascii="Calibri" w:hAnsi="Calibri"/>
          <w:sz w:val="16"/>
          <w:lang w:val="en-GB"/>
        </w:rPr>
        <w:t xml:space="preserve">  Ruis, P. (2007). Checklist for Higher Education Efficiency. Accountability, tools and </w:t>
      </w:r>
      <w:r>
        <w:rPr>
          <w:rFonts w:ascii="Calibri" w:hAnsi="Calibri"/>
          <w:spacing w:val="-2"/>
          <w:sz w:val="16"/>
          <w:lang w:val="en-GB"/>
        </w:rPr>
        <w:t>research information.</w:t>
      </w:r>
    </w:p>
    <w:p>
      <w:pPr>
        <w:pStyle w:val="Normal"/>
        <w:spacing w:lineRule="atLeast" w:line="230" w:before="4" w:after="0"/>
        <w:ind w:left="1274" w:right="1243" w:hanging="0"/>
        <w:rPr>
          <w:sz w:val="16"/>
          <w:lang w:val="en-GB"/>
        </w:rPr>
      </w:pPr>
      <w:r>
        <w:rPr>
          <w:w w:val="105"/>
          <w:position w:val="10"/>
          <w:sz w:val="13"/>
          <w:lang w:val="en-GB"/>
        </w:rPr>
        <w:t>8</w:t>
      </w:r>
      <w:r>
        <w:rPr>
          <w:w w:val="105"/>
          <w:sz w:val="16"/>
          <w:lang w:val="en-GB"/>
        </w:rPr>
        <w:t xml:space="preserve">  Letter from the Dutch Association of School Counsellors and Student Counsellors to the chair of the N&amp;T/N&amp;G and E&amp;M/C&amp;M Profile Committees dated 19 March 2007.</w:t>
      </w:r>
    </w:p>
    <w:p>
      <w:pPr>
        <w:pStyle w:val="Normal"/>
        <w:spacing w:lineRule="exact" w:line="239"/>
        <w:ind w:left="1274" w:hanging="0"/>
        <w:rPr>
          <w:rFonts w:ascii="Calibri" w:hAnsi="Calibri"/>
          <w:sz w:val="16"/>
        </w:rPr>
      </w:pPr>
      <w:r>
        <w:rPr>
          <w:rFonts w:ascii="Calibri" w:hAnsi="Calibri"/>
          <w:position w:val="10"/>
          <w:sz w:val="13"/>
        </w:rPr>
        <w:t>9</w:t>
      </w:r>
      <w:r>
        <w:rPr>
          <w:rFonts w:ascii="Calibri" w:hAnsi="Calibri"/>
          <w:sz w:val="16"/>
        </w:rPr>
        <w:t xml:space="preserve">  De Graaf, De Jong and Van der Veen,</w:t>
      </w:r>
      <w:r>
        <w:rPr>
          <w:rFonts w:ascii="Calibri" w:hAnsi="Calibri"/>
          <w:spacing w:val="-2"/>
          <w:sz w:val="16"/>
        </w:rPr>
        <w:t xml:space="preserve"> 2006.</w:t>
      </w:r>
    </w:p>
    <w:p>
      <w:pPr>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41" w:right="141" w:gutter="0" w:header="706" w:top="960" w:footer="1153" w:bottom="1340"/>
          <w:pgNumType w:fmt="decimal"/>
          <w:formProt w:val="false"/>
          <w:textDirection w:val="lrTb"/>
          <w:docGrid w:type="default" w:linePitch="100" w:charSpace="4096"/>
        </w:sectPr>
        <w:pStyle w:val="Normal"/>
        <w:spacing w:lineRule="exact" w:line="270"/>
        <w:ind w:left="1274" w:hanging="0"/>
        <w:rPr>
          <w:rFonts w:ascii="Calibri" w:hAnsi="Calibri"/>
          <w:sz w:val="16"/>
          <w:lang w:val="en-GB"/>
        </w:rPr>
      </w:pPr>
      <w:r>
        <w:rPr>
          <w:rFonts w:ascii="Calibri" w:hAnsi="Calibri"/>
          <w:position w:val="10"/>
          <w:sz w:val="14"/>
          <w:lang w:val="en-GB"/>
        </w:rPr>
        <w:t>10</w:t>
      </w:r>
      <w:r>
        <w:rPr>
          <w:rFonts w:ascii="Calibri" w:hAnsi="Calibri"/>
          <w:sz w:val="16"/>
          <w:lang w:val="en-GB"/>
        </w:rPr>
        <w:t xml:space="preserve">  Report on Study Choice Motivation IOWO</w:t>
      </w:r>
      <w:r>
        <w:rPr>
          <w:rFonts w:ascii="Calibri" w:hAnsi="Calibri"/>
          <w:spacing w:val="-4"/>
          <w:sz w:val="16"/>
          <w:lang w:val="en-GB"/>
        </w:rPr>
        <w:t xml:space="preserve"> 2007</w:t>
      </w:r>
    </w:p>
    <w:p>
      <w:pPr>
        <w:pStyle w:val="BodyText"/>
        <w:spacing w:before="211" w:after="0"/>
        <w:rPr>
          <w:rFonts w:ascii="Calibri" w:hAnsi="Calibri"/>
          <w:lang w:val="en-GB"/>
        </w:rPr>
      </w:pPr>
      <w:r>
        <w:rPr>
          <w:rFonts w:ascii="Calibri" w:hAnsi="Calibri"/>
          <w:lang w:val="en-GB"/>
        </w:rPr>
      </w:r>
    </w:p>
    <w:p>
      <w:pPr>
        <w:pStyle w:val="Heading2"/>
        <w:numPr>
          <w:ilvl w:val="1"/>
          <w:numId w:val="4"/>
        </w:numPr>
        <w:tabs>
          <w:tab w:val="clear" w:pos="720"/>
          <w:tab w:val="left" w:pos="1609" w:leader="none"/>
        </w:tabs>
        <w:spacing w:before="0" w:after="0"/>
        <w:ind w:left="1609" w:hanging="335"/>
        <w:rPr>
          <w:b w:val="false"/>
        </w:rPr>
      </w:pPr>
      <w:bookmarkStart w:id="4" w:name="_TOC_250016"/>
      <w:bookmarkEnd w:id="4"/>
      <w:r>
        <w:rPr>
          <w:b w:val="false"/>
          <w:color w:val="C52B2F"/>
          <w:spacing w:val="-2"/>
        </w:rPr>
        <w:t>Dean</w:t>
      </w:r>
    </w:p>
    <w:p>
      <w:pPr>
        <w:pStyle w:val="BodyText"/>
        <w:spacing w:lineRule="auto" w:line="343" w:before="75" w:after="0"/>
        <w:ind w:left="1274" w:right="1268" w:hanging="0"/>
        <w:jc w:val="both"/>
        <w:rPr>
          <w:lang w:val="en-GB"/>
        </w:rPr>
      </w:pPr>
      <w:r>
        <w:rPr>
          <w:w w:val="110"/>
          <w:lang w:val="en-GB"/>
        </w:rPr>
        <w:t>Further assistance with study choice is provided by the counsellor of the preparatory programme. The counsellor can discuss the interests and career options of all students. Supplemented by discussions with teachers, the counsellor writes a report highlighting the student's interests, career opportunities and skills. This report should enable the student to make a more informed decision about a possible further course of study. This report could also be included in the intake interview with the institution so that the institution can form a better picture of the prospective student. This enables the institution to better determine whether there is a good match, and if not, the report may help to find a more suitable alternative together.</w:t>
      </w:r>
    </w:p>
    <w:p>
      <w:pPr>
        <w:pStyle w:val="Heading2"/>
        <w:numPr>
          <w:ilvl w:val="1"/>
          <w:numId w:val="4"/>
        </w:numPr>
        <w:tabs>
          <w:tab w:val="clear" w:pos="720"/>
          <w:tab w:val="left" w:pos="1609" w:leader="none"/>
        </w:tabs>
        <w:spacing w:before="177" w:after="0"/>
        <w:ind w:left="1609" w:hanging="335"/>
        <w:rPr>
          <w:b w:val="false"/>
          <w:lang w:val="en-GB"/>
        </w:rPr>
      </w:pPr>
      <w:bookmarkStart w:id="5" w:name="_TOC_250015"/>
      <w:r>
        <w:rPr>
          <w:b w:val="false"/>
          <w:color w:val="C52B2F"/>
          <w:spacing w:val="-6"/>
          <w:lang w:val="en-GB"/>
        </w:rPr>
        <w:t>Involving parents in the study choice and</w:t>
      </w:r>
      <w:bookmarkEnd w:id="5"/>
      <w:r>
        <w:rPr>
          <w:b w:val="false"/>
          <w:color w:val="C52B2F"/>
          <w:spacing w:val="-6"/>
          <w:lang w:val="en-GB"/>
        </w:rPr>
        <w:t xml:space="preserve"> s process</w:t>
      </w:r>
    </w:p>
    <w:p>
      <w:pPr>
        <w:pStyle w:val="BodyText"/>
        <w:spacing w:lineRule="auto" w:line="343" w:before="80" w:after="0"/>
        <w:ind w:left="1274" w:right="1265" w:hanging="0"/>
        <w:jc w:val="both"/>
        <w:rPr>
          <w:lang w:val="en-GB"/>
        </w:rPr>
      </w:pPr>
      <w:r>
        <w:rPr>
          <w:w w:val="110"/>
          <w:lang w:val="en-GB"/>
        </w:rPr>
        <w:t xml:space="preserve">Research shows that the opinion of parents is decisive for half of prospective students. </w:t>
      </w:r>
      <w:r>
        <w:rPr>
          <w:w w:val="110"/>
          <w:vertAlign w:val="superscript"/>
          <w:lang w:val="en-GB"/>
        </w:rPr>
        <w:t>11</w:t>
      </w:r>
      <w:r>
        <w:rPr>
          <w:w w:val="110"/>
          <w:lang w:val="en-GB"/>
        </w:rPr>
        <w:t xml:space="preserve">  This makes it very important to involve parents more in the study choice process. This could include information days for parents, but above all discussions with the student, the counsellor and parents in which expectations and needs can be clearly discussed so that a realistic picture can be formed. It is particularly important for first-generation students, including immigrants from non-Western backgrounds, whose parents did not attend university themselves, that parents are involved in the study choice process. They often lack much of the necessary information and can therefore hinder the emancipation and integration of their children. Discussions with parents are particularly important because students from these groups are at increased risk of dropping out and are also much less likely than other groups of students to return to study after making the wrong choice. </w:t>
      </w:r>
      <w:r>
        <w:rPr>
          <w:w w:val="110"/>
          <w:vertAlign w:val="superscript"/>
          <w:lang w:val="en-GB"/>
        </w:rPr>
        <w:t>12</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202" w:after="0"/>
        <w:rPr>
          <w:sz w:val="20"/>
          <w:lang w:val="en-GB"/>
        </w:rPr>
      </w:pPr>
      <w:r>
        <w:rPr>
          <w:sz w:val="20"/>
          <w:lang w:val="en-GB"/>
        </w:rPr>
        <mc:AlternateContent>
          <mc:Choice Requires="wps">
            <w:drawing>
              <wp:anchor behindDoc="1" distT="0" distB="635" distL="0" distR="0" simplePos="0" locked="0" layoutInCell="0" allowOverlap="1" relativeHeight="23">
                <wp:simplePos x="0" y="0"/>
                <wp:positionH relativeFrom="page">
                  <wp:posOffset>899160</wp:posOffset>
                </wp:positionH>
                <wp:positionV relativeFrom="paragraph">
                  <wp:posOffset>289560</wp:posOffset>
                </wp:positionV>
                <wp:extent cx="1828800" cy="6350"/>
                <wp:effectExtent l="0" t="0" r="0" b="0"/>
                <wp:wrapTopAndBottom/>
                <wp:docPr id="35" name="Graphic 15"/>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exact" w:line="256" w:before="64" w:after="0"/>
        <w:ind w:left="1274" w:hanging="0"/>
        <w:rPr>
          <w:rFonts w:ascii="Calibri" w:hAnsi="Calibri"/>
          <w:sz w:val="16"/>
          <w:lang w:val="en-GB"/>
        </w:rPr>
      </w:pPr>
      <w:r>
        <w:rPr>
          <w:rFonts w:ascii="Calibri" w:hAnsi="Calibri"/>
          <w:position w:val="10"/>
          <w:sz w:val="13"/>
          <w:lang w:val="en-GB"/>
        </w:rPr>
        <w:t>11</w:t>
      </w:r>
      <w:r>
        <w:rPr>
          <w:rFonts w:ascii="Calibri" w:hAnsi="Calibri"/>
          <w:sz w:val="16"/>
          <w:lang w:val="en-GB"/>
        </w:rPr>
        <w:t xml:space="preserve">  IOWO intake monitor</w:t>
      </w:r>
      <w:r>
        <w:rPr>
          <w:rFonts w:ascii="Calibri" w:hAnsi="Calibri"/>
          <w:spacing w:val="-4"/>
          <w:sz w:val="16"/>
          <w:lang w:val="en-GB"/>
        </w:rPr>
        <w:t xml:space="preserve"> 2009</w:t>
      </w:r>
    </w:p>
    <w:p>
      <w:pPr>
        <w:sectPr>
          <w:headerReference w:type="even" r:id="rId32"/>
          <w:headerReference w:type="default" r:id="rId33"/>
          <w:headerReference w:type="first" r:id="rId34"/>
          <w:footerReference w:type="even" r:id="rId35"/>
          <w:footerReference w:type="default" r:id="rId36"/>
          <w:footerReference w:type="first" r:id="rId37"/>
          <w:type w:val="nextPage"/>
          <w:pgSz w:w="11906" w:h="16838"/>
          <w:pgMar w:left="141" w:right="141" w:gutter="0" w:header="706" w:top="960" w:footer="1153" w:bottom="1340"/>
          <w:pgNumType w:fmt="decimal"/>
          <w:formProt w:val="false"/>
          <w:textDirection w:val="lrTb"/>
          <w:docGrid w:type="default" w:linePitch="100" w:charSpace="4096"/>
        </w:sectPr>
        <w:pStyle w:val="Normal"/>
        <w:spacing w:lineRule="exact" w:line="256"/>
        <w:ind w:left="1274" w:hanging="0"/>
        <w:rPr>
          <w:rFonts w:ascii="Calibri" w:hAnsi="Calibri"/>
          <w:sz w:val="16"/>
          <w:lang w:val="en-GB"/>
        </w:rPr>
      </w:pPr>
      <w:r>
        <w:rPr>
          <w:rFonts w:ascii="Calibri" w:hAnsi="Calibri"/>
          <w:position w:val="10"/>
          <w:sz w:val="13"/>
          <w:lang w:val="en-GB"/>
        </w:rPr>
        <w:t>12</w:t>
      </w:r>
      <w:r>
        <w:rPr>
          <w:rFonts w:ascii="Calibri" w:hAnsi="Calibri"/>
          <w:sz w:val="16"/>
          <w:lang w:val="en-GB"/>
        </w:rPr>
        <w:t xml:space="preserve">  Yearbook of Education in Figures, CBS</w:t>
      </w:r>
      <w:r>
        <w:rPr>
          <w:rFonts w:ascii="Calibri" w:hAnsi="Calibri"/>
          <w:spacing w:val="-4"/>
          <w:sz w:val="16"/>
          <w:lang w:val="en-GB"/>
        </w:rPr>
        <w:t xml:space="preserve"> 2009</w:t>
      </w:r>
    </w:p>
    <w:p>
      <w:pPr>
        <w:pStyle w:val="BodyText"/>
        <w:spacing w:before="111" w:after="0"/>
        <w:rPr>
          <w:rFonts w:ascii="Calibri" w:hAnsi="Calibri"/>
          <w:sz w:val="26"/>
          <w:lang w:val="en-GB"/>
        </w:rPr>
      </w:pPr>
      <w:r>
        <w:rPr>
          <w:rFonts w:ascii="Calibri" w:hAnsi="Calibri"/>
          <w:sz w:val="26"/>
          <w:lang w:val="en-GB"/>
        </w:rPr>
      </w:r>
    </w:p>
    <w:p>
      <w:pPr>
        <w:pStyle w:val="Heading1"/>
        <w:rPr>
          <w:b w:val="false"/>
          <w:lang w:val="en-GB"/>
        </w:rPr>
      </w:pPr>
      <w:bookmarkStart w:id="6" w:name="_TOC_250014"/>
      <w:r>
        <w:rPr>
          <w:b w:val="false"/>
          <w:color w:val="C52B2F"/>
          <w:w w:val="90"/>
          <w:sz w:val="27"/>
          <w:lang w:val="en-GB"/>
        </w:rPr>
        <w:t>H4 Intake</w:t>
      </w:r>
      <w:bookmarkEnd w:id="6"/>
      <w:r>
        <w:rPr>
          <w:b w:val="false"/>
          <w:color w:val="C52B2F"/>
          <w:spacing w:val="-2"/>
          <w:w w:val="90"/>
          <w:sz w:val="27"/>
          <w:lang w:val="en-GB"/>
        </w:rPr>
        <w:t xml:space="preserve"> programme</w:t>
      </w:r>
    </w:p>
    <w:p>
      <w:pPr>
        <w:pStyle w:val="BodyText"/>
        <w:spacing w:before="203" w:after="0"/>
        <w:rPr>
          <w:rFonts w:ascii="Arial Black" w:hAnsi="Arial Black"/>
          <w:sz w:val="26"/>
          <w:lang w:val="en-GB"/>
        </w:rPr>
      </w:pPr>
      <w:r>
        <w:rPr>
          <w:rFonts w:ascii="Arial Black" w:hAnsi="Arial Black"/>
          <w:sz w:val="26"/>
          <w:lang w:val="en-GB"/>
        </w:rPr>
      </w:r>
    </w:p>
    <w:p>
      <w:pPr>
        <w:pStyle w:val="Heading2"/>
        <w:numPr>
          <w:ilvl w:val="1"/>
          <w:numId w:val="3"/>
        </w:numPr>
        <w:tabs>
          <w:tab w:val="clear" w:pos="720"/>
          <w:tab w:val="left" w:pos="1609" w:leader="none"/>
        </w:tabs>
        <w:spacing w:before="0" w:after="0"/>
        <w:ind w:left="1609" w:hanging="335"/>
        <w:rPr>
          <w:b w:val="false"/>
        </w:rPr>
      </w:pPr>
      <w:bookmarkStart w:id="7" w:name="_TOC_250013"/>
      <w:r>
        <w:rPr>
          <w:b w:val="false"/>
          <w:color w:val="C52B2F"/>
          <w:spacing w:val="2"/>
          <w:w w:val="90"/>
        </w:rPr>
        <w:t>Intensive</w:t>
      </w:r>
      <w:bookmarkEnd w:id="7"/>
      <w:r>
        <w:rPr>
          <w:b w:val="false"/>
          <w:color w:val="C52B2F"/>
          <w:spacing w:val="-2"/>
        </w:rPr>
        <w:t xml:space="preserve"> matching</w:t>
      </w:r>
    </w:p>
    <w:p>
      <w:pPr>
        <w:pStyle w:val="BodyText"/>
        <w:spacing w:lineRule="auto" w:line="343" w:before="75" w:after="0"/>
        <w:ind w:left="1274" w:right="1268" w:hanging="0"/>
        <w:jc w:val="both"/>
        <w:rPr>
          <w:lang w:val="en-GB"/>
        </w:rPr>
      </w:pPr>
      <w:r>
        <w:rPr>
          <w:w w:val="110"/>
          <w:lang w:val="en-GB"/>
        </w:rPr>
        <w:t>After prospective students have been properly and objectively informed and thoroughly guided in their choice of study programme, an intake process follows after enrolment in the programme. This intake process forms the final stage of the so-called matching process, during which prospective students are once again encouraged to reflect on their choice of study programme. The structure and content of the intake processes may vary depending on the programme and institution.</w:t>
      </w:r>
    </w:p>
    <w:p>
      <w:pPr>
        <w:pStyle w:val="BodyText"/>
        <w:spacing w:lineRule="auto" w:line="343" w:before="204" w:after="0"/>
        <w:ind w:left="1274" w:right="1266" w:hanging="0"/>
        <w:jc w:val="both"/>
        <w:rPr>
          <w:lang w:val="en-GB"/>
        </w:rPr>
      </w:pPr>
      <w:r>
        <w:rPr>
          <w:w w:val="110"/>
          <w:lang w:val="en-GB"/>
        </w:rPr>
        <w:t>Extensive research is currently being conducted into the effectiveness of different types of intake processes by the Kohnstamm Institute and the SURF Foundation. A report on the first completed projects was published in September 2010. It discusses two different processes.</w:t>
      </w:r>
    </w:p>
    <w:p>
      <w:pPr>
        <w:pStyle w:val="BodyText"/>
        <w:spacing w:lineRule="auto" w:line="343" w:before="205" w:after="0"/>
        <w:ind w:left="1274" w:right="1267" w:hanging="0"/>
        <w:jc w:val="both"/>
        <w:rPr>
          <w:lang w:val="en-GB"/>
        </w:rPr>
      </w:pPr>
      <w:r>
        <w:rPr>
          <w:w w:val="110"/>
          <w:lang w:val="en-GB"/>
        </w:rPr>
        <w:t>One intake process is based on a static concept focused on the right fit, where less attention is paid to motivation and more to whether the student meets the formal requirements of the programme. Based on this, a positive or negative recommendation is ultimately given. However, the recommendation is non-binding; preliminary research results suggest that this approach has little or no negative effect on study success.</w:t>
      </w:r>
    </w:p>
    <w:p>
      <w:pPr>
        <w:pStyle w:val="BodyText"/>
        <w:spacing w:lineRule="auto" w:line="343" w:before="204" w:after="0"/>
        <w:ind w:left="1274" w:right="1269" w:hanging="0"/>
        <w:jc w:val="both"/>
        <w:rPr>
          <w:lang w:val="en-GB"/>
        </w:rPr>
      </w:pPr>
      <w:r>
        <w:rPr>
          <w:w w:val="110"/>
          <w:lang w:val="en-GB"/>
        </w:rPr>
        <w:t>The other approach is based on a dynamic concept that focuses more on the development of the prospective student. Here, more attention is paid to the student's motivation and abilities. Based on the course of the interview, the student should be able to decide for themselves whether or not they are suitable for the chosen programme. Preliminary research results show that this approach has a positive effect on study success.</w:t>
      </w:r>
      <w:r>
        <w:rPr>
          <w:spacing w:val="80"/>
          <w:w w:val="110"/>
          <w:lang w:val="en-GB"/>
        </w:rPr>
        <w:t xml:space="preserve"> </w:t>
      </w:r>
      <w:r>
        <w:rPr>
          <w:w w:val="110"/>
          <w:lang w:val="en-GB"/>
        </w:rPr>
        <w:t>Further research is needed to confirm the findings with greater certainty, and this research has now begun.</w:t>
      </w:r>
    </w:p>
    <w:p>
      <w:pPr>
        <w:pStyle w:val="BodyText"/>
        <w:spacing w:lineRule="auto" w:line="343" w:before="204" w:after="0"/>
        <w:ind w:left="1274" w:right="1268" w:hanging="0"/>
        <w:jc w:val="both"/>
        <w:rPr>
          <w:lang w:val="en-GB"/>
        </w:rPr>
      </w:pPr>
      <w:r>
        <w:rPr>
          <w:w w:val="110"/>
          <w:lang w:val="en-GB"/>
        </w:rPr>
        <w:t>Given the preliminary results and the importance we attach to student responsibility, we prefer the more dynamic approach. It is important, however, that the person conducting the interviews has received the necessary training so that the best results can be achieved.</w:t>
      </w:r>
    </w:p>
    <w:p>
      <w:pPr>
        <w:pStyle w:val="Heading2"/>
        <w:numPr>
          <w:ilvl w:val="1"/>
          <w:numId w:val="3"/>
        </w:numPr>
        <w:tabs>
          <w:tab w:val="clear" w:pos="720"/>
          <w:tab w:val="left" w:pos="1609" w:leader="none"/>
        </w:tabs>
        <w:spacing w:before="174" w:after="0"/>
        <w:ind w:left="1609" w:hanging="335"/>
        <w:rPr>
          <w:b w:val="false"/>
        </w:rPr>
      </w:pPr>
      <w:bookmarkStart w:id="8" w:name="_TOC_250012"/>
      <w:bookmarkEnd w:id="8"/>
      <w:r>
        <w:rPr>
          <w:b w:val="false"/>
          <w:color w:val="C52B2F"/>
          <w:spacing w:val="-2"/>
        </w:rPr>
        <w:t>Example</w:t>
      </w:r>
    </w:p>
    <w:p>
      <w:pPr>
        <w:pStyle w:val="BodyText"/>
        <w:spacing w:lineRule="auto" w:line="343" w:before="75" w:after="0"/>
        <w:ind w:left="1274" w:right="1267" w:hanging="0"/>
        <w:jc w:val="both"/>
        <w:rPr>
          <w:lang w:val="en-GB"/>
        </w:rPr>
      </w:pPr>
      <w:r>
        <w:rPr>
          <w:w w:val="110"/>
          <w:lang w:val="en-GB"/>
        </w:rPr>
        <w:t xml:space="preserve">Intake interviews can be conducted with every student, but a selection process can also be implemented whereby, for example, only those students who register for the programme very late, who have been identified as belonging to a risk profile through a short online intake test, or whose report from the head teacher is not in line with the programme, are invited. It is up to the institutions to decide how to implement this. Below are some possible ways of structuring the </w:t>
      </w:r>
      <w:r>
        <w:rPr>
          <w:spacing w:val="-2"/>
          <w:w w:val="110"/>
          <w:lang w:val="en-GB"/>
        </w:rPr>
        <w:t>intake process.</w:t>
      </w:r>
    </w:p>
    <w:p>
      <w:pPr>
        <w:pStyle w:val="Heading2"/>
        <w:numPr>
          <w:ilvl w:val="1"/>
          <w:numId w:val="3"/>
        </w:numPr>
        <w:tabs>
          <w:tab w:val="clear" w:pos="720"/>
          <w:tab w:val="left" w:pos="1609" w:leader="none"/>
        </w:tabs>
        <w:ind w:left="1609" w:hanging="335"/>
        <w:rPr>
          <w:b w:val="false"/>
        </w:rPr>
      </w:pPr>
      <w:bookmarkStart w:id="9" w:name="_TOC_250011"/>
      <w:bookmarkEnd w:id="9"/>
      <w:r>
        <w:rPr>
          <w:b w:val="false"/>
          <w:color w:val="C52B2F"/>
          <w:spacing w:val="-2"/>
        </w:rPr>
        <w:t>Work experience programmes</w:t>
      </w:r>
    </w:p>
    <w:p>
      <w:pPr>
        <w:sectPr>
          <w:headerReference w:type="even" r:id="rId38"/>
          <w:headerReference w:type="default" r:id="rId39"/>
          <w:headerReference w:type="first" r:id="rId40"/>
          <w:footerReference w:type="even" r:id="rId41"/>
          <w:footerReference w:type="default" r:id="rId42"/>
          <w:footerReference w:type="first" r:id="rId43"/>
          <w:type w:val="nextPage"/>
          <w:pgSz w:w="11906" w:h="16838"/>
          <w:pgMar w:left="141" w:right="141" w:gutter="0" w:header="706" w:top="960" w:footer="1153" w:bottom="1360"/>
          <w:pgNumType w:fmt="decimal"/>
          <w:formProt w:val="false"/>
          <w:textDirection w:val="lrTb"/>
          <w:docGrid w:type="default" w:linePitch="100" w:charSpace="4096"/>
        </w:sectPr>
        <w:pStyle w:val="BodyText"/>
        <w:spacing w:lineRule="auto" w:line="343" w:before="79" w:after="0"/>
        <w:ind w:left="1274" w:right="1269" w:hanging="0"/>
        <w:jc w:val="both"/>
        <w:rPr>
          <w:lang w:val="en-GB"/>
        </w:rPr>
      </w:pPr>
      <w:r>
        <w:rPr>
          <w:w w:val="110"/>
          <w:lang w:val="en-GB"/>
        </w:rPr>
        <w:t>The intake process may consist of a shadowing period during which an assignment is completed, followed by an intake interview. Shadowing gives a better impression of the programme than an information day. The student gets an idea of what a lecture looks like and how the material is taught, and he can also talk to 'real students' who have not been selected.</w:t>
      </w:r>
    </w:p>
    <w:p>
      <w:pPr>
        <w:pStyle w:val="BodyText"/>
        <w:rPr>
          <w:lang w:val="en-GB"/>
        </w:rPr>
      </w:pPr>
      <w:r>
        <w:rPr>
          <w:lang w:val="en-GB"/>
        </w:rPr>
      </w:r>
    </w:p>
    <w:p>
      <w:pPr>
        <w:pStyle w:val="BodyText"/>
        <w:spacing w:before="37" w:after="0"/>
        <w:rPr>
          <w:lang w:val="en-GB"/>
        </w:rPr>
      </w:pPr>
      <w:r>
        <w:rPr>
          <w:lang w:val="en-GB"/>
        </w:rPr>
      </w:r>
    </w:p>
    <w:p>
      <w:pPr>
        <w:pStyle w:val="BodyText"/>
        <w:spacing w:lineRule="auto" w:line="343"/>
        <w:ind w:left="1274" w:right="1264" w:hanging="0"/>
        <w:jc w:val="both"/>
        <w:rPr>
          <w:lang w:val="en-GB"/>
        </w:rPr>
      </w:pPr>
      <w:r>
        <w:rPr>
          <w:w w:val="110"/>
          <w:lang w:val="en-GB"/>
        </w:rPr>
        <w:t>and provide a personal impression of the programme. There are currently many different shadowing programmes on offer, but research shows that the more intensive the programme, the less enthusiasm there is for it. There is also a big difference between prospective higher professional education and university students. 25% of prospective higher professional education students do not even visit the website of their chosen programme. Furthermore, only 25% of prospective HBO students attend a taster day, compared to 75% of WO students. This means that, in the</w:t>
      </w:r>
    </w:p>
    <w:p>
      <w:pPr>
        <w:pStyle w:val="BodyText"/>
        <w:spacing w:lineRule="auto" w:line="336" w:before="7" w:after="0"/>
        <w:ind w:left="1274" w:right="1271" w:hanging="0"/>
        <w:jc w:val="both"/>
        <w:rPr/>
      </w:pPr>
      <w:r>
        <w:rPr>
          <w:w w:val="110"/>
          <w:lang w:val="en-GB"/>
        </w:rPr>
        <w:t xml:space="preserve">best case scenario, a quarter of university students have never attended an open day before starting their studies. </w:t>
      </w:r>
      <w:r>
        <w:rPr>
          <w:w w:val="110"/>
          <w:vertAlign w:val="superscript"/>
        </w:rPr>
        <w:t>13</w:t>
      </w:r>
    </w:p>
    <w:p>
      <w:pPr>
        <w:pStyle w:val="Heading2"/>
        <w:numPr>
          <w:ilvl w:val="1"/>
          <w:numId w:val="3"/>
        </w:numPr>
        <w:tabs>
          <w:tab w:val="clear" w:pos="720"/>
          <w:tab w:val="left" w:pos="1609" w:leader="none"/>
        </w:tabs>
        <w:spacing w:before="179" w:after="0"/>
        <w:ind w:left="1609" w:hanging="335"/>
        <w:rPr>
          <w:b w:val="false"/>
        </w:rPr>
      </w:pPr>
      <w:bookmarkStart w:id="10" w:name="_TOC_250010"/>
      <w:r>
        <w:rPr>
          <w:b w:val="false"/>
          <w:color w:val="C52B2F"/>
          <w:spacing w:val="-4"/>
        </w:rPr>
        <w:t>Intake assignment or motivation</w:t>
      </w:r>
      <w:bookmarkEnd w:id="10"/>
      <w:r>
        <w:rPr>
          <w:b w:val="false"/>
          <w:color w:val="C52B2F"/>
          <w:spacing w:val="-4"/>
        </w:rPr>
        <w:t xml:space="preserve"> </w:t>
      </w:r>
    </w:p>
    <w:p>
      <w:pPr>
        <w:pStyle w:val="BodyText"/>
        <w:spacing w:lineRule="auto" w:line="343" w:before="75" w:after="0"/>
        <w:ind w:left="1274" w:right="1267" w:hanging="0"/>
        <w:jc w:val="both"/>
        <w:rPr>
          <w:lang w:val="en-GB"/>
        </w:rPr>
      </w:pPr>
      <w:r>
        <w:rPr>
          <w:w w:val="110"/>
          <w:lang w:val="en-GB"/>
        </w:rPr>
        <w:t>At the end of the work experience period or at another point in time, an intake assignment is set that is relevant to the chosen course and also provides some insight into the level of the course. In addition to this, or instead, a written motivation letter may also be considered. In the letter or essay, the prospective student explains their choice so that they make a more informed decision and thus feel more connected to the chosen course. Social bonding is one of the most important factors for academic success.</w:t>
      </w:r>
    </w:p>
    <w:p>
      <w:pPr>
        <w:pStyle w:val="Heading2"/>
        <w:numPr>
          <w:ilvl w:val="1"/>
          <w:numId w:val="3"/>
        </w:numPr>
        <w:tabs>
          <w:tab w:val="clear" w:pos="720"/>
          <w:tab w:val="left" w:pos="1609" w:leader="none"/>
        </w:tabs>
        <w:ind w:left="1609" w:hanging="335"/>
        <w:rPr>
          <w:b w:val="false"/>
        </w:rPr>
      </w:pPr>
      <w:bookmarkStart w:id="11" w:name="_TOC_250009"/>
      <w:bookmarkEnd w:id="11"/>
      <w:r>
        <w:rPr>
          <w:b w:val="false"/>
          <w:color w:val="C52B2F"/>
          <w:spacing w:val="-2"/>
        </w:rPr>
        <w:t>Intake interview</w:t>
      </w:r>
    </w:p>
    <w:p>
      <w:pPr>
        <w:pStyle w:val="BodyText"/>
        <w:spacing w:lineRule="auto" w:line="343" w:before="80" w:after="0"/>
        <w:ind w:left="1274" w:right="1270" w:hanging="0"/>
        <w:jc w:val="both"/>
        <w:rPr>
          <w:lang w:val="en-GB"/>
        </w:rPr>
      </w:pPr>
      <w:r>
        <w:rPr>
          <w:w w:val="110"/>
          <w:lang w:val="en-GB"/>
        </w:rPr>
        <w:t>The intake interview can follow the assignment, during which the assignment is discussed and can serve as a guideline to determine the extent to which there is a match between the programme and the student. The dean's report and the student's motivation could also be discussed. The student can also ask questions to ensure that their expectations match what the institution has to offer.</w:t>
      </w:r>
    </w:p>
    <w:p>
      <w:pPr>
        <w:pStyle w:val="BodyText"/>
        <w:spacing w:lineRule="auto" w:line="338" w:before="204" w:after="0"/>
        <w:ind w:left="1274" w:right="1268" w:hanging="0"/>
        <w:jc w:val="both"/>
        <w:rPr>
          <w:lang w:val="en-GB"/>
        </w:rPr>
      </w:pPr>
      <w:r>
        <w:rPr>
          <w:w w:val="110"/>
          <w:lang w:val="en-GB"/>
        </w:rPr>
        <w:t>If, after the interview, it appears that the student still wants to pursue the programme and feels that it meets their expectations, the institution can make recommendations to fully utilise the student's development opportunities. These could include tutoring, summer school, etc.</w:t>
      </w:r>
    </w:p>
    <w:p>
      <w:pPr>
        <w:pStyle w:val="BodyText"/>
        <w:spacing w:lineRule="auto" w:line="343" w:before="208" w:after="0"/>
        <w:ind w:left="1274" w:right="1271" w:hanging="0"/>
        <w:jc w:val="both"/>
        <w:rPr>
          <w:lang w:val="en-GB"/>
        </w:rPr>
      </w:pPr>
      <w:r>
        <w:rPr>
          <w:w w:val="110"/>
          <w:lang w:val="en-GB"/>
        </w:rPr>
        <w:t>If the student ultimately decides that the programme is not suitable for them, the study advisor can suggest possible alternative programmes so that the prospective student can still be helped to make the right choice.</w:t>
      </w:r>
    </w:p>
    <w:p>
      <w:pPr>
        <w:pStyle w:val="Heading2"/>
        <w:numPr>
          <w:ilvl w:val="1"/>
          <w:numId w:val="3"/>
        </w:numPr>
        <w:tabs>
          <w:tab w:val="clear" w:pos="720"/>
          <w:tab w:val="left" w:pos="1609" w:leader="none"/>
        </w:tabs>
        <w:spacing w:before="175" w:after="0"/>
        <w:ind w:left="1609" w:hanging="335"/>
        <w:rPr>
          <w:b w:val="false"/>
        </w:rPr>
      </w:pPr>
      <w:bookmarkStart w:id="12" w:name="_TOC_250008"/>
      <w:bookmarkEnd w:id="12"/>
      <w:r>
        <w:rPr>
          <w:b w:val="false"/>
          <w:color w:val="C52B2F"/>
          <w:spacing w:val="-2"/>
        </w:rPr>
        <w:t>Reflection</w:t>
      </w:r>
    </w:p>
    <w:p>
      <w:pPr>
        <w:pStyle w:val="BodyText"/>
        <w:spacing w:lineRule="auto" w:line="343" w:before="75" w:after="0"/>
        <w:ind w:left="1274" w:right="1267" w:hanging="0"/>
        <w:jc w:val="both"/>
        <w:rPr>
          <w:lang w:val="en-GB"/>
        </w:rPr>
      </w:pPr>
      <w:r>
        <w:rPr>
          <w:w w:val="110"/>
          <w:lang w:val="en-GB"/>
        </w:rPr>
        <w:t>The intake process should be a final moment of self-reflection, during which the student asks himself once more whether he is doing the right thing by continuing. When he decides to continue, it will be a highly motivated choice. The motivated choice, together with the list of possible areas for improvement, should enable the student to start the programme and complete it successfully. This form of matching strengthens the student's conviction that they have made the right choice and that they have the abilities to successfully complete the programme. This results in a motivated, confident student of whom the institution can be proud. This leads to a</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89" w:after="0"/>
        <w:rPr>
          <w:sz w:val="20"/>
          <w:lang w:val="en-GB"/>
        </w:rPr>
      </w:pPr>
      <w:r>
        <w:rPr>
          <w:sz w:val="20"/>
          <w:lang w:val="en-GB"/>
        </w:rPr>
        <mc:AlternateContent>
          <mc:Choice Requires="wps">
            <w:drawing>
              <wp:anchor behindDoc="1" distT="0" distB="0" distL="0" distR="0" simplePos="0" locked="0" layoutInCell="0" allowOverlap="1" relativeHeight="24">
                <wp:simplePos x="0" y="0"/>
                <wp:positionH relativeFrom="page">
                  <wp:posOffset>899160</wp:posOffset>
                </wp:positionH>
                <wp:positionV relativeFrom="paragraph">
                  <wp:posOffset>218440</wp:posOffset>
                </wp:positionV>
                <wp:extent cx="1828800" cy="6350"/>
                <wp:effectExtent l="0" t="0" r="0" b="0"/>
                <wp:wrapTopAndBottom/>
                <wp:docPr id="48" name="Graphic 16"/>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headerReference w:type="even" r:id="rId44"/>
          <w:headerReference w:type="default" r:id="rId45"/>
          <w:headerReference w:type="first" r:id="rId46"/>
          <w:footerReference w:type="even" r:id="rId47"/>
          <w:footerReference w:type="default" r:id="rId48"/>
          <w:footerReference w:type="first" r:id="rId49"/>
          <w:type w:val="nextPage"/>
          <w:pgSz w:w="11906" w:h="16838"/>
          <w:pgMar w:left="141" w:right="141" w:gutter="0" w:header="706" w:top="960" w:footer="1153" w:bottom="1340"/>
          <w:pgNumType w:fmt="decimal"/>
          <w:formProt w:val="false"/>
          <w:textDirection w:val="lrTb"/>
          <w:docGrid w:type="default" w:linePitch="100" w:charSpace="4096"/>
        </w:sectPr>
        <w:pStyle w:val="Normal"/>
        <w:spacing w:before="64" w:after="0"/>
        <w:ind w:left="1274" w:hanging="0"/>
        <w:rPr>
          <w:rFonts w:ascii="Calibri" w:hAnsi="Calibri"/>
          <w:sz w:val="16"/>
          <w:lang w:val="en-GB"/>
        </w:rPr>
      </w:pPr>
      <w:r>
        <w:rPr>
          <w:rFonts w:ascii="Calibri" w:hAnsi="Calibri"/>
          <w:position w:val="10"/>
          <w:sz w:val="13"/>
          <w:lang w:val="en-GB"/>
        </w:rPr>
        <w:t>13</w:t>
      </w:r>
      <w:r>
        <w:rPr>
          <w:rFonts w:ascii="Calibri" w:hAnsi="Calibri"/>
          <w:sz w:val="16"/>
          <w:lang w:val="en-GB"/>
        </w:rPr>
        <w:t xml:space="preserve">  Report on Study Choice Motivation IOWO</w:t>
      </w:r>
      <w:r>
        <w:rPr>
          <w:rFonts w:ascii="Calibri" w:hAnsi="Calibri"/>
          <w:spacing w:val="-4"/>
          <w:sz w:val="16"/>
          <w:lang w:val="en-GB"/>
        </w:rPr>
        <w:t xml:space="preserve"> 2007</w:t>
      </w:r>
    </w:p>
    <w:p>
      <w:pPr>
        <w:pStyle w:val="BodyText"/>
        <w:rPr>
          <w:rFonts w:ascii="Calibri" w:hAnsi="Calibri"/>
          <w:lang w:val="en-GB"/>
        </w:rPr>
      </w:pPr>
      <w:r>
        <w:rPr>
          <w:rFonts w:ascii="Calibri" w:hAnsi="Calibri"/>
          <w:lang w:val="en-GB"/>
        </w:rPr>
      </w:r>
    </w:p>
    <w:p>
      <w:pPr>
        <w:pStyle w:val="BodyText"/>
        <w:spacing w:before="10" w:after="0"/>
        <w:rPr>
          <w:rFonts w:ascii="Calibri" w:hAnsi="Calibri"/>
          <w:lang w:val="en-GB"/>
        </w:rPr>
      </w:pPr>
      <w:r>
        <w:rPr>
          <w:rFonts w:ascii="Calibri" w:hAnsi="Calibri"/>
          <w:lang w:val="en-GB"/>
        </w:rPr>
      </w:r>
    </w:p>
    <w:p>
      <w:pPr>
        <w:pStyle w:val="BodyText"/>
        <w:spacing w:lineRule="auto" w:line="336"/>
        <w:ind w:left="1274" w:right="1243" w:hanging="0"/>
        <w:rPr>
          <w:lang w:val="en-GB"/>
        </w:rPr>
      </w:pPr>
      <w:r>
        <w:rPr>
          <w:w w:val="110"/>
          <w:lang w:val="en-GB"/>
        </w:rPr>
        <w:t xml:space="preserve">fruitful collaboration between the student, the programme and the institution, enabling them all to rise to the top. </w:t>
      </w:r>
      <w:r>
        <w:rPr>
          <w:w w:val="110"/>
          <w:vertAlign w:val="superscript"/>
          <w:lang w:val="en-GB"/>
        </w:rPr>
        <w:t>14</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99" w:after="0"/>
        <w:rPr>
          <w:sz w:val="20"/>
          <w:lang w:val="en-GB"/>
        </w:rPr>
      </w:pPr>
      <w:r>
        <w:rPr>
          <w:sz w:val="20"/>
          <w:lang w:val="en-GB"/>
        </w:rPr>
        <mc:AlternateContent>
          <mc:Choice Requires="wps">
            <w:drawing>
              <wp:anchor behindDoc="1" distT="0" distB="0" distL="0" distR="0" simplePos="0" locked="0" layoutInCell="0" allowOverlap="1" relativeHeight="25">
                <wp:simplePos x="0" y="0"/>
                <wp:positionH relativeFrom="page">
                  <wp:posOffset>899160</wp:posOffset>
                </wp:positionH>
                <wp:positionV relativeFrom="paragraph">
                  <wp:posOffset>224790</wp:posOffset>
                </wp:positionV>
                <wp:extent cx="1828800" cy="6350"/>
                <wp:effectExtent l="0" t="0" r="0" b="0"/>
                <wp:wrapTopAndBottom/>
                <wp:docPr id="55" name="Graphic 17"/>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headerReference w:type="even" r:id="rId50"/>
          <w:headerReference w:type="default" r:id="rId51"/>
          <w:headerReference w:type="first" r:id="rId52"/>
          <w:footerReference w:type="even" r:id="rId53"/>
          <w:footerReference w:type="default" r:id="rId54"/>
          <w:footerReference w:type="first" r:id="rId55"/>
          <w:type w:val="nextPage"/>
          <w:pgSz w:w="11906" w:h="16838"/>
          <w:pgMar w:left="141" w:right="141" w:gutter="0" w:header="706" w:top="960" w:footer="1153" w:bottom="1340"/>
          <w:pgNumType w:fmt="decimal"/>
          <w:formProt w:val="false"/>
          <w:textDirection w:val="lrTb"/>
          <w:docGrid w:type="default" w:linePitch="100" w:charSpace="4096"/>
        </w:sectPr>
        <w:pStyle w:val="Normal"/>
        <w:spacing w:before="64" w:after="0"/>
        <w:ind w:left="1274" w:hanging="0"/>
        <w:rPr>
          <w:rFonts w:ascii="Calibri" w:hAnsi="Calibri"/>
          <w:sz w:val="16"/>
        </w:rPr>
      </w:pPr>
      <w:r>
        <w:rPr>
          <w:rFonts w:ascii="Calibri" w:hAnsi="Calibri"/>
          <w:position w:val="10"/>
          <w:sz w:val="13"/>
        </w:rPr>
        <w:t>14</w:t>
      </w:r>
      <w:r>
        <w:rPr>
          <w:rFonts w:ascii="Calibri" w:hAnsi="Calibri"/>
          <w:sz w:val="16"/>
        </w:rPr>
        <w:t xml:space="preserve">  Beekhoven, De Jong and Van Hout,</w:t>
      </w:r>
      <w:r>
        <w:rPr>
          <w:rFonts w:ascii="Calibri" w:hAnsi="Calibri"/>
          <w:spacing w:val="-4"/>
          <w:sz w:val="16"/>
        </w:rPr>
        <w:t xml:space="preserve"> 2004</w:t>
      </w:r>
    </w:p>
    <w:p>
      <w:pPr>
        <w:pStyle w:val="BodyText"/>
        <w:spacing w:before="111" w:after="0"/>
        <w:rPr>
          <w:rFonts w:ascii="Calibri" w:hAnsi="Calibri"/>
          <w:sz w:val="26"/>
        </w:rPr>
      </w:pPr>
      <w:r>
        <w:rPr>
          <w:rFonts w:ascii="Calibri" w:hAnsi="Calibri"/>
          <w:sz w:val="26"/>
        </w:rPr>
      </w:r>
    </w:p>
    <w:p>
      <w:pPr>
        <w:pStyle w:val="Heading1"/>
        <w:rPr>
          <w:b w:val="false"/>
          <w:lang w:val="en-GB"/>
        </w:rPr>
      </w:pPr>
      <w:bookmarkStart w:id="13" w:name="_TOC_250007"/>
      <w:r>
        <w:rPr>
          <w:b w:val="false"/>
          <w:color w:val="C52B2F"/>
          <w:w w:val="90"/>
          <w:sz w:val="27"/>
          <w:lang w:val="en-GB"/>
        </w:rPr>
        <w:t xml:space="preserve">H5 Support and </w:t>
      </w:r>
      <w:r>
        <w:rPr>
          <w:b w:val="false"/>
          <w:color w:val="C52B2F"/>
          <w:spacing w:val="-2"/>
          <w:w w:val="90"/>
          <w:sz w:val="27"/>
          <w:lang w:val="en-GB"/>
        </w:rPr>
        <w:t>study career guidance</w:t>
      </w:r>
      <w:bookmarkEnd w:id="13"/>
      <w:r>
        <w:rPr>
          <w:b w:val="false"/>
          <w:color w:val="C52B2F"/>
          <w:spacing w:val="-2"/>
          <w:w w:val="90"/>
          <w:sz w:val="27"/>
          <w:lang w:val="en-GB"/>
        </w:rPr>
        <w:t xml:space="preserve"> </w:t>
      </w:r>
    </w:p>
    <w:p>
      <w:pPr>
        <w:pStyle w:val="BodyText"/>
        <w:spacing w:lineRule="auto" w:line="343" w:before="87" w:after="0"/>
        <w:ind w:left="1274" w:right="1269" w:hanging="0"/>
        <w:jc w:val="both"/>
        <w:rPr>
          <w:lang w:val="en-GB"/>
        </w:rPr>
      </w:pPr>
      <w:r>
        <w:rPr>
          <w:w w:val="110"/>
          <w:lang w:val="en-GB"/>
        </w:rPr>
        <w:t>Getting more suitable students into the right programmes is already a big step forward. To ensure that there is no decline afterwards and that students get the most out of themselves, it is important that there is support from the institutions. Much of the support mentioned below is already available in some form at the institutions. However, we advocate that these forms of support be implemented institution-wide. It is also important that students be approached more actively with these support options. The guidance and support offered can therefore be used by the institution to promote its programmes.</w:t>
      </w:r>
    </w:p>
    <w:p>
      <w:pPr>
        <w:pStyle w:val="Heading2"/>
        <w:numPr>
          <w:ilvl w:val="1"/>
          <w:numId w:val="2"/>
        </w:numPr>
        <w:tabs>
          <w:tab w:val="clear" w:pos="720"/>
          <w:tab w:val="left" w:pos="1609" w:leader="none"/>
        </w:tabs>
        <w:spacing w:before="177" w:after="0"/>
        <w:ind w:left="1609" w:hanging="335"/>
        <w:rPr>
          <w:b w:val="false"/>
        </w:rPr>
      </w:pPr>
      <w:bookmarkStart w:id="14" w:name="_TOC_250006"/>
      <w:bookmarkEnd w:id="14"/>
      <w:r>
        <w:rPr>
          <w:b w:val="false"/>
          <w:color w:val="C52B2F"/>
          <w:spacing w:val="-2"/>
        </w:rPr>
        <w:t>Buddy system</w:t>
      </w:r>
    </w:p>
    <w:p>
      <w:pPr>
        <w:pStyle w:val="BodyText"/>
        <w:spacing w:lineRule="auto" w:line="324" w:before="44" w:after="0"/>
        <w:ind w:left="1274" w:right="1270" w:hanging="0"/>
        <w:jc w:val="both"/>
        <w:rPr>
          <w:lang w:val="en-GB"/>
        </w:rPr>
      </w:pPr>
      <w:r>
        <w:rPr>
          <w:w w:val="110"/>
          <w:lang w:val="en-GB"/>
        </w:rPr>
        <w:t>A buddy system can help first-year students overcome their initial apprehensions. With just a few meetings, either in a pub or in someone's room, a senior student can provide tips on challenging subjects, study planning, books, and other relevant topics. These should not be mandatory meetings; most students will find their way or already have sufficient support from their study or student association. However, there will always be students who could use additional assistance or who may struggle later on.</w:t>
      </w:r>
    </w:p>
    <w:p>
      <w:pPr>
        <w:pStyle w:val="BodyText"/>
        <w:spacing w:lineRule="auto" w:line="343" w:before="20" w:after="0"/>
        <w:ind w:left="1274" w:right="1269" w:hanging="0"/>
        <w:jc w:val="both"/>
        <w:rPr/>
      </w:pPr>
      <w:r>
        <w:rPr>
          <w:w w:val="110"/>
          <w:lang w:val="en-GB"/>
        </w:rPr>
        <w:t xml:space="preserve">mandatory meetings: most students find their feet naturally or already receive enough help from their study or student association. However, there will always be students who could use extra help or who, later in the year, want someone they can talk to on an equal footing. </w:t>
      </w:r>
      <w:r>
        <w:rPr>
          <w:w w:val="110"/>
        </w:rPr>
        <w:t xml:space="preserve">After all, a lonely student almost always drops out. </w:t>
      </w:r>
      <w:r>
        <w:rPr>
          <w:w w:val="110"/>
          <w:vertAlign w:val="superscript"/>
        </w:rPr>
        <w:t>15</w:t>
      </w:r>
    </w:p>
    <w:p>
      <w:pPr>
        <w:pStyle w:val="Heading2"/>
        <w:numPr>
          <w:ilvl w:val="1"/>
          <w:numId w:val="2"/>
        </w:numPr>
        <w:tabs>
          <w:tab w:val="clear" w:pos="720"/>
          <w:tab w:val="left" w:pos="1609" w:leader="none"/>
        </w:tabs>
        <w:spacing w:before="169" w:after="0"/>
        <w:ind w:left="1609" w:hanging="335"/>
        <w:rPr>
          <w:b w:val="false"/>
        </w:rPr>
      </w:pPr>
      <w:bookmarkStart w:id="15" w:name="_TOC_250005"/>
      <w:r>
        <w:rPr>
          <w:b w:val="false"/>
          <w:color w:val="C52B2F"/>
          <w:spacing w:val="-6"/>
        </w:rPr>
        <w:t>Study career</w:t>
      </w:r>
      <w:bookmarkEnd w:id="15"/>
      <w:r>
        <w:rPr>
          <w:b w:val="false"/>
          <w:color w:val="C52B2F"/>
          <w:spacing w:val="-2"/>
        </w:rPr>
        <w:t xml:space="preserve"> conversations</w:t>
      </w:r>
    </w:p>
    <w:p>
      <w:pPr>
        <w:pStyle w:val="BodyText"/>
        <w:spacing w:lineRule="auto" w:line="343" w:before="80" w:after="0"/>
        <w:ind w:left="1274" w:right="1266" w:hanging="0"/>
        <w:jc w:val="both"/>
        <w:rPr>
          <w:lang w:val="en-GB"/>
        </w:rPr>
      </w:pPr>
      <w:r>
        <w:rPr>
          <w:w w:val="110"/>
          <w:lang w:val="en-GB"/>
        </w:rPr>
        <w:t>Study advisors are busy and advising is often not their only task. As a result, students muddle through when they encounter problems and do not feel supported by the university. Interim review meetings (especially for students who are falling behind) should be the norm. Review meetings are particularly important in the first year.</w:t>
      </w:r>
      <w:r>
        <w:rPr>
          <w:spacing w:val="80"/>
          <w:w w:val="110"/>
          <w:lang w:val="en-GB"/>
        </w:rPr>
        <w:t xml:space="preserve"> </w:t>
      </w:r>
      <w:r>
        <w:rPr>
          <w:w w:val="110"/>
          <w:lang w:val="en-GB"/>
        </w:rPr>
        <w:t>Most dropouts occur in the first year, when studying is new, the student is in a different city, living on their own for the first time and has a new social network. This period therefore requires the most attention, but students who fall behind later on should also be invited for a meeting.</w:t>
      </w:r>
      <w:r>
        <w:rPr>
          <w:spacing w:val="40"/>
          <w:w w:val="110"/>
          <w:lang w:val="en-GB"/>
        </w:rPr>
        <w:t xml:space="preserve"> </w:t>
      </w:r>
      <w:r>
        <w:rPr>
          <w:w w:val="110"/>
          <w:lang w:val="en-GB"/>
        </w:rPr>
        <w:t xml:space="preserve">In addition to the fact that the counsellor can help with bottlenecks, many students appreciate the attention and it reduces the feeling of being just a number. Such a meeting should not be conducted from the perspective of the institution, which would like to see its efficiency figures rise, but rather from the perspective of the student, for whom the questions of whether someone is in the right place on the programme and how that can be changed or improved </w:t>
      </w:r>
      <w:r>
        <w:rPr>
          <w:spacing w:val="-2"/>
          <w:w w:val="110"/>
          <w:lang w:val="en-GB"/>
        </w:rPr>
        <w:t>are</w:t>
      </w:r>
      <w:r>
        <w:rPr>
          <w:w w:val="110"/>
          <w:lang w:val="en-GB"/>
        </w:rPr>
        <w:t xml:space="preserve"> important</w:t>
      </w:r>
      <w:r>
        <w:rPr>
          <w:spacing w:val="-2"/>
          <w:w w:val="110"/>
          <w:lang w:val="en-GB"/>
        </w:rPr>
        <w:t>.</w:t>
      </w:r>
    </w:p>
    <w:p>
      <w:pPr>
        <w:pStyle w:val="Heading2"/>
        <w:numPr>
          <w:ilvl w:val="1"/>
          <w:numId w:val="2"/>
        </w:numPr>
        <w:tabs>
          <w:tab w:val="clear" w:pos="720"/>
          <w:tab w:val="left" w:pos="1609" w:leader="none"/>
        </w:tabs>
        <w:spacing w:before="180" w:after="0"/>
        <w:ind w:left="1609" w:hanging="335"/>
        <w:rPr>
          <w:b w:val="false"/>
        </w:rPr>
      </w:pPr>
      <w:bookmarkStart w:id="16" w:name="_TOC_250004"/>
      <w:bookmarkEnd w:id="16"/>
      <w:r>
        <w:rPr>
          <w:b w:val="false"/>
          <w:color w:val="C52B2F"/>
          <w:spacing w:val="-2"/>
        </w:rPr>
        <w:t>Career guidance</w:t>
      </w:r>
    </w:p>
    <w:p>
      <w:pPr>
        <w:pStyle w:val="BodyText"/>
        <w:spacing w:lineRule="auto" w:line="343" w:before="74" w:after="0"/>
        <w:ind w:left="1274" w:right="1266" w:hanging="0"/>
        <w:jc w:val="both"/>
        <w:rPr>
          <w:lang w:val="en-GB"/>
        </w:rPr>
      </w:pPr>
      <w:r>
        <w:rPr>
          <w:w w:val="110"/>
          <w:lang w:val="en-GB"/>
        </w:rPr>
        <w:t>Outlining realistic career prospects ensures that students do not become disappointed because their studies do not match their dream job. To this end, it is important that students have an objective picture of possible career paths before they start their studies. It is also important that students are helped to get the most out of their student days and to develop themselves further alongside their studies. Offering relevant internships, encouraging extra-curricular activities and study-related work experience are good examples of this. Through thorough career guidance</w:t>
      </w:r>
    </w:p>
    <w:p>
      <w:pPr>
        <w:pStyle w:val="BodyText"/>
        <w:spacing w:before="1" w:after="0"/>
        <w:rPr>
          <w:sz w:val="16"/>
          <w:lang w:val="en-GB"/>
        </w:rPr>
      </w:pPr>
      <w:r>
        <w:rPr>
          <w:sz w:val="16"/>
          <w:lang w:val="en-GB"/>
        </w:rPr>
        <mc:AlternateContent>
          <mc:Choice Requires="wps">
            <w:drawing>
              <wp:anchor behindDoc="1" distT="0" distB="0" distL="0" distR="0" simplePos="0" locked="0" layoutInCell="0" allowOverlap="1" relativeHeight="26">
                <wp:simplePos x="0" y="0"/>
                <wp:positionH relativeFrom="page">
                  <wp:posOffset>899160</wp:posOffset>
                </wp:positionH>
                <wp:positionV relativeFrom="paragraph">
                  <wp:posOffset>133350</wp:posOffset>
                </wp:positionV>
                <wp:extent cx="1828800" cy="6350"/>
                <wp:effectExtent l="0" t="0" r="0" b="0"/>
                <wp:wrapTopAndBottom/>
                <wp:docPr id="62" name="Graphic 18"/>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6"/>
                              </a:lnTo>
                              <a:lnTo>
                                <a:pt x="1828800" y="6096"/>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headerReference w:type="even" r:id="rId56"/>
          <w:headerReference w:type="default" r:id="rId57"/>
          <w:headerReference w:type="first" r:id="rId58"/>
          <w:footerReference w:type="even" r:id="rId59"/>
          <w:footerReference w:type="default" r:id="rId60"/>
          <w:footerReference w:type="first" r:id="rId61"/>
          <w:type w:val="nextPage"/>
          <w:pgSz w:w="11906" w:h="16838"/>
          <w:pgMar w:left="141" w:right="141" w:gutter="0" w:header="706" w:top="960" w:footer="1153" w:bottom="1400"/>
          <w:pgNumType w:fmt="decimal"/>
          <w:formProt w:val="false"/>
          <w:textDirection w:val="lrTb"/>
          <w:docGrid w:type="default" w:linePitch="100" w:charSpace="4096"/>
        </w:sectPr>
        <w:pStyle w:val="Normal"/>
        <w:spacing w:before="90" w:after="0"/>
        <w:ind w:left="1274" w:hanging="0"/>
        <w:rPr>
          <w:sz w:val="16"/>
          <w:lang w:val="en-GB"/>
        </w:rPr>
      </w:pPr>
      <w:r>
        <w:rPr>
          <w:position w:val="10"/>
          <w:sz w:val="13"/>
          <w:lang w:val="en-GB"/>
        </w:rPr>
        <w:t>15</w:t>
      </w:r>
      <w:r>
        <w:rPr>
          <w:sz w:val="16"/>
          <w:lang w:val="en-GB"/>
        </w:rPr>
        <w:t xml:space="preserve">  R.J. Light, Dean Harvard College, Making the most of </w:t>
      </w:r>
      <w:r>
        <w:rPr>
          <w:spacing w:val="-2"/>
          <w:sz w:val="16"/>
          <w:lang w:val="en-GB"/>
        </w:rPr>
        <w:t>College</w:t>
      </w:r>
    </w:p>
    <w:p>
      <w:pPr>
        <w:pStyle w:val="BodyText"/>
        <w:rPr>
          <w:lang w:val="en-GB"/>
        </w:rPr>
      </w:pPr>
      <w:r>
        <w:rPr>
          <w:lang w:val="en-GB"/>
        </w:rPr>
      </w:r>
    </w:p>
    <w:p>
      <w:pPr>
        <w:pStyle w:val="BodyText"/>
        <w:spacing w:before="37" w:after="0"/>
        <w:rPr>
          <w:lang w:val="en-GB"/>
        </w:rPr>
      </w:pPr>
      <w:r>
        <w:rPr>
          <w:lang w:val="en-GB"/>
        </w:rPr>
      </w:r>
    </w:p>
    <w:p>
      <w:pPr>
        <w:pStyle w:val="BodyText"/>
        <w:spacing w:lineRule="auto" w:line="336"/>
        <w:ind w:left="1274" w:right="1271" w:hanging="0"/>
        <w:jc w:val="both"/>
        <w:rPr>
          <w:lang w:val="en-GB"/>
        </w:rPr>
      </w:pPr>
      <w:r>
        <w:rPr>
          <w:w w:val="110"/>
          <w:lang w:val="en-GB"/>
        </w:rPr>
        <w:t>, the institution produces students who are desired and cherished by society, which in turn reflects positively on the institutions.</w:t>
      </w:r>
    </w:p>
    <w:p>
      <w:pPr>
        <w:pStyle w:val="Heading2"/>
        <w:numPr>
          <w:ilvl w:val="1"/>
          <w:numId w:val="2"/>
        </w:numPr>
        <w:tabs>
          <w:tab w:val="clear" w:pos="720"/>
          <w:tab w:val="left" w:pos="1609" w:leader="none"/>
        </w:tabs>
        <w:spacing w:before="179" w:after="0"/>
        <w:ind w:left="1609" w:hanging="335"/>
        <w:rPr>
          <w:b w:val="false"/>
        </w:rPr>
      </w:pPr>
      <w:bookmarkStart w:id="17" w:name="_TOC_250003"/>
      <w:r>
        <w:rPr>
          <w:b w:val="false"/>
          <w:color w:val="C52B2F"/>
          <w:spacing w:val="-6"/>
        </w:rPr>
        <w:t>Interaction between lecturer and student</w:t>
      </w:r>
      <w:bookmarkEnd w:id="17"/>
      <w:r>
        <w:rPr>
          <w:b w:val="false"/>
          <w:color w:val="C52B2F"/>
          <w:spacing w:val="-6"/>
        </w:rPr>
        <w:t xml:space="preserve"> </w:t>
      </w:r>
    </w:p>
    <w:p>
      <w:pPr>
        <w:pStyle w:val="BodyText"/>
        <w:spacing w:lineRule="auto" w:line="343" w:before="80" w:after="0"/>
        <w:ind w:left="1274" w:right="1271" w:hanging="0"/>
        <w:jc w:val="both"/>
        <w:rPr>
          <w:lang w:val="en-GB"/>
        </w:rPr>
      </w:pPr>
      <w:r>
        <w:rPr>
          <w:w w:val="110"/>
          <w:lang w:val="en-GB"/>
        </w:rPr>
        <w:t>Students often feel that they hardly know their teachers, which is one of the factors that makes them feel disconnected from the programme.</w:t>
      </w:r>
      <w:r>
        <w:rPr>
          <w:w w:val="110"/>
          <w:vertAlign w:val="superscript"/>
          <w:lang w:val="en-GB"/>
        </w:rPr>
        <w:t>16</w:t>
      </w:r>
      <w:r>
        <w:rPr>
          <w:w w:val="110"/>
          <w:lang w:val="en-GB"/>
        </w:rPr>
        <w:t xml:space="preserve">  In order to increase social cohesion, more contact hours should be offered. In addition, more informal teacher-student get-togethers, etc. should be organised. This would allow students to interact with their teachers in an accessible way. As a result, students would be less likely to feel like a number and would feel much more connected to their studies.</w:t>
      </w:r>
    </w:p>
    <w:p>
      <w:pPr>
        <w:pStyle w:val="Heading2"/>
        <w:numPr>
          <w:ilvl w:val="1"/>
          <w:numId w:val="2"/>
        </w:numPr>
        <w:tabs>
          <w:tab w:val="clear" w:pos="720"/>
          <w:tab w:val="left" w:pos="1609" w:leader="none"/>
        </w:tabs>
        <w:ind w:left="1609" w:hanging="335"/>
        <w:rPr>
          <w:b w:val="false"/>
        </w:rPr>
      </w:pPr>
      <w:bookmarkStart w:id="18" w:name="_TOC_250002"/>
      <w:r>
        <w:rPr>
          <w:b w:val="false"/>
          <w:color w:val="C52B2F"/>
          <w:w w:val="90"/>
        </w:rPr>
        <w:t>Exit</w:t>
      </w:r>
      <w:bookmarkEnd w:id="18"/>
      <w:r>
        <w:rPr>
          <w:b w:val="false"/>
          <w:color w:val="C52B2F"/>
          <w:spacing w:val="-2"/>
          <w:w w:val="95"/>
        </w:rPr>
        <w:t xml:space="preserve"> s</w:t>
      </w:r>
    </w:p>
    <w:p>
      <w:pPr>
        <w:pStyle w:val="BodyText"/>
        <w:spacing w:lineRule="auto" w:line="343" w:before="75" w:after="0"/>
        <w:ind w:left="1274" w:right="1267" w:hanging="0"/>
        <w:jc w:val="both"/>
        <w:rPr>
          <w:lang w:val="en-GB"/>
        </w:rPr>
      </w:pPr>
      <w:r>
        <w:rPr>
          <w:w w:val="110"/>
          <w:lang w:val="en-GB"/>
        </w:rPr>
        <w:t>In the unlikely event that students do drop out, it is very important to conduct exit interviews. Research by the Inspectorate</w:t>
      </w:r>
      <w:r>
        <w:rPr>
          <w:w w:val="110"/>
          <w:vertAlign w:val="superscript"/>
          <w:lang w:val="en-GB"/>
        </w:rPr>
        <w:t>17</w:t>
      </w:r>
      <w:r>
        <w:rPr>
          <w:w w:val="110"/>
          <w:lang w:val="en-GB"/>
        </w:rPr>
        <w:t>shows that, unfortunately, most programmes do not conduct exit interviews. It is wise to do so, as exit interviews can provide useful information about where the bottlenecks lie and can be used in the future by both the student and the programme. The aim is to prevent dropouts as much as possible in the future. Although the BSA was introduced to prevent dropouts in later years of study, no exit interviews are conducted at all in the years after the BSA in the event of dropouts. This makes it impossible to gain insight into the effectiveness of the BSA, so that the usefulness of the measure cannot be demonstrated either.</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105" w:after="0"/>
        <w:rPr>
          <w:sz w:val="20"/>
          <w:lang w:val="en-GB"/>
        </w:rPr>
      </w:pPr>
      <w:r>
        <w:rPr>
          <w:sz w:val="20"/>
          <w:lang w:val="en-GB"/>
        </w:rPr>
        <mc:AlternateContent>
          <mc:Choice Requires="wps">
            <w:drawing>
              <wp:anchor behindDoc="1" distT="0" distB="0" distL="0" distR="0" simplePos="0" locked="0" layoutInCell="0" allowOverlap="1" relativeHeight="27">
                <wp:simplePos x="0" y="0"/>
                <wp:positionH relativeFrom="page">
                  <wp:posOffset>899160</wp:posOffset>
                </wp:positionH>
                <wp:positionV relativeFrom="paragraph">
                  <wp:posOffset>227965</wp:posOffset>
                </wp:positionV>
                <wp:extent cx="1828800" cy="6350"/>
                <wp:effectExtent l="0" t="0" r="0" b="0"/>
                <wp:wrapTopAndBottom/>
                <wp:docPr id="69" name="Graphic 19"/>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exact" w:line="256" w:before="64" w:after="0"/>
        <w:ind w:left="1274" w:hanging="0"/>
        <w:rPr>
          <w:rFonts w:ascii="Calibri" w:hAnsi="Calibri"/>
          <w:sz w:val="16"/>
          <w:lang w:val="en-GB"/>
        </w:rPr>
      </w:pPr>
      <w:r>
        <w:rPr>
          <w:rFonts w:ascii="Calibri" w:hAnsi="Calibri"/>
          <w:position w:val="10"/>
          <w:sz w:val="13"/>
          <w:lang w:val="en-GB"/>
        </w:rPr>
        <w:t>16</w:t>
      </w:r>
      <w:r>
        <w:rPr>
          <w:rFonts w:ascii="Calibri" w:hAnsi="Calibri"/>
          <w:sz w:val="16"/>
          <w:lang w:val="en-GB"/>
        </w:rPr>
        <w:t xml:space="preserve">  A successful start in higher education, Education Council</w:t>
      </w:r>
      <w:r>
        <w:rPr>
          <w:rFonts w:ascii="Calibri" w:hAnsi="Calibri"/>
          <w:spacing w:val="-4"/>
          <w:sz w:val="16"/>
          <w:lang w:val="en-GB"/>
        </w:rPr>
        <w:t xml:space="preserve"> 2008</w:t>
      </w:r>
    </w:p>
    <w:p>
      <w:pPr>
        <w:sectPr>
          <w:headerReference w:type="even" r:id="rId62"/>
          <w:headerReference w:type="default" r:id="rId63"/>
          <w:headerReference w:type="first" r:id="rId64"/>
          <w:footerReference w:type="even" r:id="rId65"/>
          <w:footerReference w:type="default" r:id="rId66"/>
          <w:footerReference w:type="first" r:id="rId67"/>
          <w:type w:val="nextPage"/>
          <w:pgSz w:w="11906" w:h="16838"/>
          <w:pgMar w:left="141" w:right="141" w:gutter="0" w:header="706" w:top="960" w:footer="1153" w:bottom="1340"/>
          <w:pgNumType w:fmt="decimal"/>
          <w:formProt w:val="false"/>
          <w:textDirection w:val="lrTb"/>
          <w:docGrid w:type="default" w:linePitch="100" w:charSpace="4096"/>
        </w:sectPr>
        <w:pStyle w:val="Normal"/>
        <w:spacing w:lineRule="exact" w:line="256"/>
        <w:ind w:left="1274" w:hanging="0"/>
        <w:rPr>
          <w:rFonts w:ascii="Calibri" w:hAnsi="Calibri"/>
          <w:sz w:val="16"/>
          <w:lang w:val="en-GB"/>
        </w:rPr>
      </w:pPr>
      <w:r>
        <w:rPr>
          <w:rFonts w:ascii="Calibri" w:hAnsi="Calibri"/>
          <w:position w:val="10"/>
          <w:sz w:val="13"/>
          <w:lang w:val="en-GB"/>
        </w:rPr>
        <w:t>17</w:t>
      </w:r>
      <w:r>
        <w:rPr>
          <w:rFonts w:ascii="Calibri" w:hAnsi="Calibri"/>
          <w:sz w:val="16"/>
          <w:lang w:val="en-GB"/>
        </w:rPr>
        <w:t xml:space="preserve">  With both feet on the ground, Education Inspectorate</w:t>
      </w:r>
      <w:r>
        <w:rPr>
          <w:rFonts w:ascii="Calibri" w:hAnsi="Calibri"/>
          <w:spacing w:val="-4"/>
          <w:sz w:val="16"/>
          <w:lang w:val="en-GB"/>
        </w:rPr>
        <w:t xml:space="preserve"> 2010</w:t>
      </w:r>
    </w:p>
    <w:p>
      <w:pPr>
        <w:pStyle w:val="BodyText"/>
        <w:spacing w:before="111" w:after="0"/>
        <w:rPr>
          <w:rFonts w:ascii="Calibri" w:hAnsi="Calibri"/>
          <w:sz w:val="26"/>
          <w:lang w:val="en-GB"/>
        </w:rPr>
      </w:pPr>
      <w:r>
        <w:rPr>
          <w:rFonts w:ascii="Calibri" w:hAnsi="Calibri"/>
          <w:sz w:val="26"/>
          <w:lang w:val="en-GB"/>
        </w:rPr>
      </w:r>
    </w:p>
    <w:p>
      <w:pPr>
        <w:pStyle w:val="Heading1"/>
        <w:rPr>
          <w:b w:val="false"/>
          <w:lang w:val="en-GB"/>
        </w:rPr>
      </w:pPr>
      <w:bookmarkStart w:id="19" w:name="_TOC_250001"/>
      <w:r>
        <w:rPr>
          <w:b w:val="false"/>
          <w:color w:val="C52B2F"/>
          <w:w w:val="85"/>
          <w:sz w:val="27"/>
          <w:lang w:val="en-GB"/>
        </w:rPr>
        <w:t>H6</w:t>
      </w:r>
      <w:bookmarkEnd w:id="19"/>
      <w:r>
        <w:rPr>
          <w:b w:val="false"/>
          <w:color w:val="C52B2F"/>
          <w:spacing w:val="-2"/>
          <w:w w:val="95"/>
          <w:sz w:val="27"/>
          <w:lang w:val="en-GB"/>
        </w:rPr>
        <w:t xml:space="preserve"> Funding</w:t>
      </w:r>
    </w:p>
    <w:p>
      <w:pPr>
        <w:pStyle w:val="BodyText"/>
        <w:spacing w:lineRule="auto" w:line="343" w:before="87" w:after="0"/>
        <w:ind w:left="1274" w:right="1267" w:hanging="0"/>
        <w:jc w:val="both"/>
        <w:rPr>
          <w:lang w:val="en-GB"/>
        </w:rPr>
      </w:pPr>
      <w:r>
        <w:rPr>
          <w:w w:val="110"/>
          <w:lang w:val="en-GB"/>
        </w:rPr>
        <w:t xml:space="preserve">In the introduction, the costs to society of poor matching and the resulting dropouts and delays were estimated at 5.7 billion euros. </w:t>
      </w:r>
      <w:r>
        <w:rPr>
          <w:w w:val="110"/>
          <w:vertAlign w:val="superscript"/>
          <w:lang w:val="en-GB"/>
        </w:rPr>
        <w:t>18</w:t>
      </w:r>
      <w:r>
        <w:rPr>
          <w:w w:val="110"/>
          <w:lang w:val="en-GB"/>
        </w:rPr>
        <w:t xml:space="preserve">  Reducing dropouts therefore results in enormous savings. These savings will therefore have to be used to enable matching.</w:t>
      </w:r>
    </w:p>
    <w:p>
      <w:pPr>
        <w:pStyle w:val="BodyText"/>
        <w:spacing w:lineRule="auto" w:line="338" w:before="205" w:after="0"/>
        <w:ind w:left="1274" w:right="1266" w:hanging="0"/>
        <w:jc w:val="both"/>
        <w:rPr>
          <w:lang w:val="en-GB"/>
        </w:rPr>
      </w:pPr>
      <w:r>
        <w:rPr>
          <w:w w:val="110"/>
          <w:lang w:val="en-GB"/>
        </w:rPr>
        <w:t>The first area of savings stems directly from the reduction in dropout rates. Students who drop out and then enrol at another institution cost that institution money because they receive less government funding for those students. By preventing dropouts or enabling a quick switch within the institution in the first year of study, this money is saved.</w:t>
      </w:r>
    </w:p>
    <w:p>
      <w:pPr>
        <w:pStyle w:val="BodyText"/>
        <w:spacing w:lineRule="auto" w:line="343" w:before="209" w:after="0"/>
        <w:ind w:left="1274" w:right="1270" w:hanging="0"/>
        <w:jc w:val="both"/>
        <w:rPr>
          <w:lang w:val="en-GB"/>
        </w:rPr>
      </w:pPr>
      <w:r>
        <w:rPr>
          <w:w w:val="110"/>
          <w:lang w:val="en-GB"/>
        </w:rPr>
        <w:t>If dropout rates do not exceed 30%, the money is spent much more efficiently. This more efficient spending recoups the costs of the matching process.</w:t>
      </w:r>
    </w:p>
    <w:p>
      <w:pPr>
        <w:pStyle w:val="BodyText"/>
        <w:spacing w:lineRule="auto" w:line="338" w:before="205" w:after="0"/>
        <w:ind w:left="1274" w:right="1270" w:hanging="0"/>
        <w:jc w:val="both"/>
        <w:rPr>
          <w:lang w:val="en-GB"/>
        </w:rPr>
      </w:pPr>
      <w:r>
        <w:rPr>
          <w:w w:val="110"/>
          <w:lang w:val="en-GB"/>
        </w:rPr>
        <w:t>New measures for students who take too long to complete their studies would mean that changing courses after the first year could cost the student 3,000 euros. Improving the match between students and courses would therefore generate enough money to improve the quality of higher education, pay for the matching process and also reduce the national debt.</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161" w:after="0"/>
        <w:rPr>
          <w:sz w:val="20"/>
          <w:lang w:val="en-GB"/>
        </w:rPr>
      </w:pPr>
      <w:r>
        <w:rPr>
          <w:sz w:val="20"/>
          <w:lang w:val="en-GB"/>
        </w:rPr>
        <mc:AlternateContent>
          <mc:Choice Requires="wps">
            <w:drawing>
              <wp:anchor behindDoc="1" distT="0" distB="0" distL="0" distR="0" simplePos="0" locked="0" layoutInCell="0" allowOverlap="1" relativeHeight="28">
                <wp:simplePos x="0" y="0"/>
                <wp:positionH relativeFrom="page">
                  <wp:posOffset>899160</wp:posOffset>
                </wp:positionH>
                <wp:positionV relativeFrom="paragraph">
                  <wp:posOffset>264160</wp:posOffset>
                </wp:positionV>
                <wp:extent cx="1828800" cy="6350"/>
                <wp:effectExtent l="0" t="0" r="0" b="0"/>
                <wp:wrapTopAndBottom/>
                <wp:docPr id="76" name="Graphic 20"/>
                <a:graphic xmlns:a="http://schemas.openxmlformats.org/drawingml/2006/main">
                  <a:graphicData uri="http://schemas.microsoft.com/office/word/2010/wordprocessingShape">
                    <wps:wsp>
                      <wps:cNvSpPr/>
                      <wps:spPr>
                        <a:xfrm>
                          <a:off x="0" y="0"/>
                          <a:ext cx="1828800" cy="6480"/>
                        </a:xfrm>
                        <a:custGeom>
                          <a:avLst/>
                          <a:gdLst>
                            <a:gd name="textAreaLeft" fmla="*/ 0 w 1036800"/>
                            <a:gd name="textAreaRight" fmla="*/ 1037160 w 1036800"/>
                            <a:gd name="textAreaTop" fmla="*/ 0 h 3600"/>
                            <a:gd name="textAreaBottom" fmla="*/ 3960 h 3600"/>
                          </a:gdLst>
                          <a:ah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headerReference w:type="even" r:id="rId68"/>
          <w:headerReference w:type="default" r:id="rId69"/>
          <w:headerReference w:type="first" r:id="rId70"/>
          <w:footerReference w:type="even" r:id="rId71"/>
          <w:footerReference w:type="default" r:id="rId72"/>
          <w:footerReference w:type="first" r:id="rId73"/>
          <w:type w:val="nextPage"/>
          <w:pgSz w:w="11906" w:h="16838"/>
          <w:pgMar w:left="141" w:right="141" w:gutter="0" w:header="706" w:top="960" w:footer="1153" w:bottom="1340"/>
          <w:pgNumType w:fmt="decimal"/>
          <w:formProt w:val="false"/>
          <w:textDirection w:val="lrTb"/>
          <w:docGrid w:type="default" w:linePitch="100" w:charSpace="4096"/>
        </w:sectPr>
        <w:pStyle w:val="Normal"/>
        <w:spacing w:before="64" w:after="0"/>
        <w:ind w:left="1274" w:hanging="0"/>
        <w:rPr>
          <w:rFonts w:ascii="Calibri" w:hAnsi="Calibri"/>
          <w:sz w:val="16"/>
          <w:lang w:val="en-GB"/>
        </w:rPr>
      </w:pPr>
      <w:r>
        <w:rPr>
          <w:rFonts w:ascii="Calibri" w:hAnsi="Calibri"/>
          <w:position w:val="10"/>
          <w:sz w:val="13"/>
          <w:lang w:val="en-GB"/>
        </w:rPr>
        <w:t>18</w:t>
      </w:r>
      <w:r>
        <w:rPr>
          <w:rFonts w:ascii="Calibri" w:hAnsi="Calibri"/>
          <w:sz w:val="16"/>
          <w:lang w:val="en-GB"/>
        </w:rPr>
        <w:t xml:space="preserve">  The labour market by programme and profession until 2008, ROA</w:t>
      </w:r>
      <w:r>
        <w:rPr>
          <w:rFonts w:ascii="Calibri" w:hAnsi="Calibri"/>
          <w:spacing w:val="-4"/>
          <w:sz w:val="16"/>
          <w:lang w:val="en-GB"/>
        </w:rPr>
        <w:t xml:space="preserve"> 2003</w:t>
      </w:r>
    </w:p>
    <w:p>
      <w:pPr>
        <w:pStyle w:val="BodyText"/>
        <w:spacing w:before="116" w:after="0"/>
        <w:rPr>
          <w:rFonts w:ascii="Calibri" w:hAnsi="Calibri"/>
          <w:sz w:val="26"/>
          <w:lang w:val="en-GB"/>
        </w:rPr>
      </w:pPr>
      <w:r>
        <w:rPr>
          <w:rFonts w:ascii="Calibri" w:hAnsi="Calibri"/>
          <w:sz w:val="26"/>
          <w:lang w:val="en-GB"/>
        </w:rPr>
      </w:r>
    </w:p>
    <w:p>
      <w:pPr>
        <w:pStyle w:val="Heading1"/>
        <w:rPr>
          <w:b w:val="false"/>
          <w:lang w:val="en-GB"/>
        </w:rPr>
      </w:pPr>
      <w:bookmarkStart w:id="20" w:name="_TOC_250000"/>
      <w:r>
        <w:rPr>
          <w:b w:val="false"/>
          <w:color w:val="C52B2F"/>
          <w:w w:val="85"/>
          <w:sz w:val="27"/>
          <w:lang w:val="en-GB"/>
        </w:rPr>
        <w:t>H7</w:t>
      </w:r>
      <w:bookmarkEnd w:id="20"/>
      <w:r>
        <w:rPr>
          <w:b w:val="false"/>
          <w:color w:val="C52B2F"/>
          <w:spacing w:val="-2"/>
          <w:w w:val="95"/>
          <w:sz w:val="27"/>
          <w:lang w:val="en-GB"/>
        </w:rPr>
        <w:t xml:space="preserve"> Conclusion</w:t>
      </w:r>
    </w:p>
    <w:p>
      <w:pPr>
        <w:pStyle w:val="BodyText"/>
        <w:spacing w:lineRule="auto" w:line="343" w:before="82" w:after="0"/>
        <w:ind w:left="1274" w:right="1270" w:hanging="0"/>
        <w:jc w:val="both"/>
        <w:rPr>
          <w:lang w:val="en-GB"/>
        </w:rPr>
      </w:pPr>
      <w:r>
        <w:rPr>
          <w:w w:val="115"/>
          <w:lang w:val="en-GB"/>
        </w:rPr>
        <w:t xml:space="preserve">The matching process is the way for institutions and students to get the most out of each other. For students, this results in optimal utilisation of their abilities, a wealth </w:t>
      </w:r>
      <w:r>
        <w:rPr>
          <w:w w:val="110"/>
          <w:lang w:val="en-GB"/>
        </w:rPr>
        <w:t xml:space="preserve">of knowledge and experience, and an open door to a bright future. In addition to positive return rates, it gives institutions students to be proud of, who are highly motivated and willing </w:t>
      </w:r>
      <w:r>
        <w:rPr>
          <w:w w:val="115"/>
          <w:lang w:val="en-GB"/>
        </w:rPr>
        <w:t>to take on any challenge. This creates an atmosphere that has international appeal and should help institutions and the Netherlands to rise to the top. It also increases job satisfaction for lecturers and professors when they come into daily contact with motivated students who know what they want and what they can achieve.</w:t>
      </w:r>
      <w:r>
        <w:rPr>
          <w:spacing w:val="-14"/>
          <w:w w:val="115"/>
          <w:lang w:val="en-GB"/>
        </w:rPr>
        <w:t xml:space="preserve"> </w:t>
      </w:r>
      <w:r>
        <w:rPr>
          <w:w w:val="115"/>
          <w:lang w:val="en-GB"/>
        </w:rPr>
        <w:t>Freedom is a core value of our democracy, and matching preserves this freedom for students in their choice of study while helping them to develop and take responsibility for themselves.</w:t>
      </w:r>
    </w:p>
    <w:p>
      <w:pPr>
        <w:sectPr>
          <w:headerReference w:type="even" r:id="rId74"/>
          <w:headerReference w:type="default" r:id="rId75"/>
          <w:headerReference w:type="first" r:id="rId76"/>
          <w:footerReference w:type="even" r:id="rId77"/>
          <w:footerReference w:type="default" r:id="rId78"/>
          <w:footerReference w:type="first" r:id="rId79"/>
          <w:type w:val="nextPage"/>
          <w:pgSz w:w="11906" w:h="16838"/>
          <w:pgMar w:left="141" w:right="141" w:gutter="0" w:header="706" w:top="960" w:footer="1153" w:bottom="1400"/>
          <w:pgNumType w:fmt="decimal"/>
          <w:formProt w:val="false"/>
          <w:textDirection w:val="lrTb"/>
          <w:docGrid w:type="default" w:linePitch="100" w:charSpace="4096"/>
        </w:sectPr>
        <w:pStyle w:val="BodyText"/>
        <w:spacing w:lineRule="auto" w:line="343" w:before="207" w:after="0"/>
        <w:ind w:left="1274" w:right="1268" w:hanging="0"/>
        <w:jc w:val="both"/>
        <w:rPr>
          <w:lang w:val="en-GB"/>
        </w:rPr>
      </w:pPr>
      <w:r>
        <w:rPr>
          <w:w w:val="110"/>
          <w:lang w:val="en-GB"/>
        </w:rPr>
        <w:t>Furthermore, a well-executed matching process can make a substantial contribution to cost savings running into the billions. This would be sufficient to finance the matching process and make the structural investments in higher education called for by the Veerman Committee, all of which would ultimately result in a reduction in the national debt. Matching is an example of how a limited investment can lead to great results. Our advice can therefore only be to call for all possible measures to be taken to achieve this as quickly as possible.</w:t>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rPr>
          <w:sz w:val="20"/>
          <w:lang w:val="en-GB"/>
        </w:rPr>
      </w:pPr>
      <w:r>
        <w:rPr>
          <w:sz w:val="20"/>
          <w:lang w:val="en-GB"/>
        </w:rPr>
      </w:r>
    </w:p>
    <w:p>
      <w:pPr>
        <w:pStyle w:val="BodyText"/>
        <w:spacing w:before="73" w:after="0"/>
        <w:rPr>
          <w:sz w:val="20"/>
          <w:lang w:val="en-GB"/>
        </w:rPr>
      </w:pPr>
      <w:r>
        <w:rPr>
          <w:sz w:val="20"/>
          <w:lang w:val="en-GB"/>
        </w:rPr>
      </w:r>
    </w:p>
    <w:p>
      <w:pPr>
        <w:sectPr>
          <w:headerReference w:type="even" r:id="rId80"/>
          <w:headerReference w:type="default" r:id="rId81"/>
          <w:headerReference w:type="first" r:id="rId82"/>
          <w:footerReference w:type="even" r:id="rId83"/>
          <w:footerReference w:type="default" r:id="rId84"/>
          <w:footerReference w:type="first" r:id="rId85"/>
          <w:type w:val="nextPage"/>
          <w:pgSz w:w="11906" w:h="16838"/>
          <w:pgMar w:left="141" w:right="141" w:gutter="0" w:header="0" w:top="1940" w:footer="0" w:bottom="280"/>
          <w:pgNumType w:fmt="decimal"/>
          <w:formProt w:val="false"/>
          <w:textDirection w:val="lrTb"/>
          <w:docGrid w:type="default" w:linePitch="100" w:charSpace="4096"/>
        </w:sectPr>
      </w:pPr>
    </w:p>
    <w:p>
      <w:pPr>
        <w:pStyle w:val="Normal"/>
        <w:spacing w:before="93" w:after="0"/>
        <w:ind w:left="679" w:hanging="0"/>
        <w:rPr>
          <w:rFonts w:ascii="Arial Black" w:hAnsi="Arial Black"/>
          <w:sz w:val="24"/>
          <w:lang w:val="en-GB"/>
        </w:rPr>
      </w:pPr>
      <w:r>
        <mc:AlternateContent>
          <mc:Choice Requires="wps">
            <w:drawing>
              <wp:anchor behindDoc="1" distT="0" distB="0" distL="0" distR="0" simplePos="0" locked="0" layoutInCell="0" allowOverlap="1" relativeHeight="15">
                <wp:simplePos x="0" y="0"/>
                <wp:positionH relativeFrom="page">
                  <wp:posOffset>4390390</wp:posOffset>
                </wp:positionH>
                <wp:positionV relativeFrom="page">
                  <wp:posOffset>448310</wp:posOffset>
                </wp:positionV>
                <wp:extent cx="2269490" cy="9618980"/>
                <wp:effectExtent l="0" t="0" r="0" b="0"/>
                <wp:wrapNone/>
                <wp:docPr id="89" name="Textbox 21"/>
                <a:graphic xmlns:a="http://schemas.openxmlformats.org/drawingml/2006/main">
                  <a:graphicData uri="http://schemas.microsoft.com/office/word/2010/wordprocessingShape">
                    <wps:wsp>
                      <wps:cNvSpPr/>
                      <wps:spPr>
                        <a:xfrm>
                          <a:off x="0" y="0"/>
                          <a:ext cx="2269440" cy="9618840"/>
                        </a:xfrm>
                        <a:prstGeom prst="rect">
                          <a:avLst/>
                        </a:prstGeom>
                        <a:noFill/>
                        <a:ln w="0">
                          <a:noFill/>
                        </a:ln>
                      </wps:spPr>
                      <wps:style>
                        <a:lnRef idx="0"/>
                        <a:fillRef idx="0"/>
                        <a:effectRef idx="0"/>
                        <a:fontRef idx="minor"/>
                      </wps:style>
                      <wps:txbx>
                        <w:txbxContent>
                          <w:p>
                            <w:pPr>
                              <w:pStyle w:val="BodyText"/>
                              <w:spacing w:before="32" w:after="0"/>
                              <w:ind w:right="1" w:hanging="0"/>
                              <w:jc w:val="right"/>
                              <w:rPr>
                                <w:lang w:val="en-GB"/>
                              </w:rPr>
                            </w:pPr>
                            <w:r>
                              <w:rPr>
                                <w:color w:val="C00000"/>
                                <w:w w:val="110"/>
                                <w:lang w:val="en-GB"/>
                              </w:rPr>
                              <w:t>Everyone in their place – February</w:t>
                            </w:r>
                            <w:r>
                              <w:rPr>
                                <w:color w:val="C00000"/>
                                <w:spacing w:val="-4"/>
                                <w:w w:val="110"/>
                                <w:lang w:val="en-GB"/>
                              </w:rPr>
                              <w:t xml:space="preserve"> 2011</w: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23" w:after="0"/>
                              <w:rPr>
                                <w:lang w:val="en-GB"/>
                              </w:rPr>
                            </w:pPr>
                            <w:r>
                              <w:rPr>
                                <w:lang w:val="en-GB"/>
                              </w:rPr>
                            </w:r>
                          </w:p>
                          <w:p>
                            <w:pPr>
                              <w:pStyle w:val="BodyText"/>
                              <w:jc w:val="right"/>
                              <w:rPr/>
                            </w:pPr>
                            <w:r>
                              <w:rPr>
                                <w:color w:val="C52B2F"/>
                                <w:spacing w:val="-5"/>
                                <w:w w:val="105"/>
                              </w:rPr>
                              <w:t>13</w:t>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345.7pt;margin-top:35.3pt;width:178.65pt;height:757.35pt;mso-wrap-style:square;v-text-anchor:top;mso-position-horizontal-relative:page;mso-position-vertical-relative:page">
                <v:fill o:detectmouseclick="t" on="false"/>
                <v:stroke color="#3465a4" joinstyle="round" endcap="flat"/>
                <v:textbox>
                  <w:txbxContent>
                    <w:p>
                      <w:pPr>
                        <w:pStyle w:val="BodyText"/>
                        <w:spacing w:before="32" w:after="0"/>
                        <w:ind w:right="1" w:hanging="0"/>
                        <w:jc w:val="right"/>
                        <w:rPr>
                          <w:lang w:val="en-GB"/>
                        </w:rPr>
                      </w:pPr>
                      <w:r>
                        <w:rPr>
                          <w:color w:val="C00000"/>
                          <w:w w:val="110"/>
                          <w:lang w:val="en-GB"/>
                        </w:rPr>
                        <w:t>Everyone in their place – February</w:t>
                      </w:r>
                      <w:r>
                        <w:rPr>
                          <w:color w:val="C00000"/>
                          <w:spacing w:val="-4"/>
                          <w:w w:val="110"/>
                          <w:lang w:val="en-GB"/>
                        </w:rPr>
                        <w:t xml:space="preserve"> 2011</w: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23" w:after="0"/>
                        <w:rPr>
                          <w:lang w:val="en-GB"/>
                        </w:rPr>
                      </w:pPr>
                      <w:r>
                        <w:rPr>
                          <w:lang w:val="en-GB"/>
                        </w:rPr>
                      </w:r>
                    </w:p>
                    <w:p>
                      <w:pPr>
                        <w:pStyle w:val="BodyText"/>
                        <w:jc w:val="right"/>
                        <w:rPr/>
                      </w:pPr>
                      <w:r>
                        <w:rPr>
                          <w:color w:val="C52B2F"/>
                          <w:spacing w:val="-5"/>
                          <w:w w:val="105"/>
                        </w:rPr>
                        <w:t>13</w:t>
                      </w:r>
                    </w:p>
                  </w:txbxContent>
                </v:textbox>
                <w10:wrap type="none"/>
              </v:rect>
            </w:pict>
          </mc:Fallback>
        </mc:AlternateContent>
        <mc:AlternateContent>
          <mc:Choice Requires="wpg">
            <w:drawing>
              <wp:anchor behindDoc="1" distT="0" distB="0" distL="0" distR="0" simplePos="0" locked="0" layoutInCell="0" allowOverlap="1" relativeHeight="17">
                <wp:simplePos x="0" y="0"/>
                <wp:positionH relativeFrom="page">
                  <wp:posOffset>152400</wp:posOffset>
                </wp:positionH>
                <wp:positionV relativeFrom="page">
                  <wp:posOffset>152400</wp:posOffset>
                </wp:positionV>
                <wp:extent cx="7251700" cy="10388600"/>
                <wp:effectExtent l="0" t="0" r="0" b="0"/>
                <wp:wrapNone/>
                <wp:docPr id="90" name="Group 22"/>
                <a:graphic xmlns:a="http://schemas.openxmlformats.org/drawingml/2006/main">
                  <a:graphicData uri="http://schemas.microsoft.com/office/word/2010/wordprocessingGroup">
                    <wpg:wgp>
                      <wpg:cNvGrpSpPr/>
                      <wpg:grpSpPr>
                        <a:xfrm>
                          <a:off x="0" y="0"/>
                          <a:ext cx="7251840" cy="10388520"/>
                          <a:chOff x="0" y="0"/>
                          <a:chExt cx="7251840" cy="10388520"/>
                        </a:xfrm>
                      </wpg:grpSpPr>
                      <pic:pic xmlns:pic="http://schemas.openxmlformats.org/drawingml/2006/picture">
                        <pic:nvPicPr>
                          <pic:cNvPr id="91" name="Image 23" descr=""/>
                          <pic:cNvPicPr/>
                        </pic:nvPicPr>
                        <pic:blipFill>
                          <a:blip r:embed="rId86"/>
                          <a:stretch/>
                        </pic:blipFill>
                        <pic:spPr>
                          <a:xfrm>
                            <a:off x="6288480" y="9641160"/>
                            <a:ext cx="380520" cy="380520"/>
                          </a:xfrm>
                          <a:prstGeom prst="rect">
                            <a:avLst/>
                          </a:prstGeom>
                          <a:ln w="0">
                            <a:noFill/>
                          </a:ln>
                        </pic:spPr>
                      </pic:pic>
                      <wps:wsp>
                        <wps:cNvPr id="92" name="Graphic 24"/>
                        <wps:cNvSpPr/>
                        <wps:spPr>
                          <a:xfrm>
                            <a:off x="0" y="0"/>
                            <a:ext cx="7251840" cy="10388520"/>
                          </a:xfrm>
                          <a:custGeom>
                            <a:avLst/>
                            <a:gdLst>
                              <a:gd name="textAreaLeft" fmla="*/ 0 w 4111200"/>
                              <a:gd name="textAreaRight" fmla="*/ 4111560 w 4111200"/>
                              <a:gd name="textAreaTop" fmla="*/ 0 h 5889600"/>
                              <a:gd name="textAreaBottom" fmla="*/ 5889960 h 5889600"/>
                            </a:gdLst>
                            <a:ahLst/>
                            <a:rect l="textAreaLeft" t="textAreaTop" r="textAreaRight" b="textAreaBottom"/>
                            <a:pathLst>
                              <a:path w="7251700" h="10388600">
                                <a:moveTo>
                                  <a:pt x="7251700" y="0"/>
                                </a:moveTo>
                                <a:lnTo>
                                  <a:pt x="0" y="0"/>
                                </a:lnTo>
                                <a:lnTo>
                                  <a:pt x="0" y="10388600"/>
                                </a:lnTo>
                                <a:lnTo>
                                  <a:pt x="7251700" y="10388600"/>
                                </a:lnTo>
                                <a:lnTo>
                                  <a:pt x="7251700" y="0"/>
                                </a:lnTo>
                                <a:close/>
                              </a:path>
                            </a:pathLst>
                          </a:custGeom>
                          <a:solidFill>
                            <a:srgbClr val="c52b2f"/>
                          </a:solidFill>
                          <a:ln w="0">
                            <a:noFill/>
                          </a:ln>
                        </wps:spPr>
                        <wps:style>
                          <a:lnRef idx="0"/>
                          <a:fillRef idx="0"/>
                          <a:effectRef idx="0"/>
                          <a:fontRef idx="minor"/>
                        </wps:style>
                        <wps:bodyPr/>
                      </wps:wsp>
                      <pic:pic xmlns:pic="http://schemas.openxmlformats.org/drawingml/2006/picture">
                        <pic:nvPicPr>
                          <pic:cNvPr id="93" name="Image 25" descr=""/>
                          <pic:cNvPicPr/>
                        </pic:nvPicPr>
                        <pic:blipFill>
                          <a:blip r:embed="rId87"/>
                          <a:stretch/>
                        </pic:blipFill>
                        <pic:spPr>
                          <a:xfrm>
                            <a:off x="0" y="0"/>
                            <a:ext cx="4069080" cy="2404080"/>
                          </a:xfrm>
                          <a:prstGeom prst="rect">
                            <a:avLst/>
                          </a:prstGeom>
                          <a:ln w="0">
                            <a:noFill/>
                          </a:ln>
                        </pic:spPr>
                      </pic:pic>
                    </wpg:wgp>
                  </a:graphicData>
                </a:graphic>
              </wp:anchor>
            </w:drawing>
          </mc:Choice>
          <mc:Fallback>
            <w:pict>
              <v:group id="shape_0" alt="Group 22" style="position:absolute;margin-left:12pt;margin-top:12pt;width:571pt;height:818pt" coordorigin="240,240" coordsize="11420,16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3" stroked="f" o:allowincell="f" style="position:absolute;left:10143;top:15423;width:598;height:598;mso-wrap-style:none;v-text-anchor:middle;mso-position-horizontal-relative:page;mso-position-vertical-relative:page" type="_x0000_t75">
                  <v:imagedata r:id="rId88" o:detectmouseclick="t"/>
                  <v:stroke color="#3465a4" joinstyle="round" endcap="flat"/>
                  <w10:wrap type="none"/>
                </v:shape>
                <v:shape id="shape_0" ID="Image 25" stroked="f" o:allowincell="f" style="position:absolute;left:240;top:240;width:6407;height:3785;mso-wrap-style:none;v-text-anchor:middle;mso-position-horizontal-relative:page;mso-position-vertical-relative:page" type="_x0000_t75">
                  <v:imagedata r:id="rId89" o:detectmouseclick="t"/>
                  <v:stroke color="#3465a4" joinstyle="round" endcap="flat"/>
                  <w10:wrap type="none"/>
                </v:shape>
              </v:group>
            </w:pict>
          </mc:Fallback>
        </mc:AlternateContent>
      </w:r>
      <w:r>
        <w:rPr>
          <w:rFonts w:ascii="Arial Black" w:hAnsi="Arial Black"/>
          <w:color w:val="FFFFFF"/>
          <w:spacing w:val="-2"/>
          <w:sz w:val="25"/>
          <w:lang w:val="en-GB"/>
        </w:rPr>
        <w:t>Postal address:</w:t>
      </w:r>
    </w:p>
    <w:p>
      <w:pPr>
        <w:pStyle w:val="Normal"/>
        <w:spacing w:before="75" w:after="0"/>
        <w:ind w:left="679" w:hanging="0"/>
        <w:rPr>
          <w:sz w:val="24"/>
          <w:lang w:val="en-GB"/>
        </w:rPr>
      </w:pPr>
      <w:r>
        <w:rPr>
          <w:color w:val="FFFFFF"/>
          <w:sz w:val="25"/>
          <w:lang w:val="en-GB"/>
        </w:rPr>
        <w:t>PO Box</w:t>
      </w:r>
      <w:r>
        <w:rPr>
          <w:color w:val="FFFFFF"/>
          <w:spacing w:val="-4"/>
          <w:sz w:val="25"/>
          <w:lang w:val="en-GB"/>
        </w:rPr>
        <w:t xml:space="preserve"> 1335</w:t>
      </w:r>
    </w:p>
    <w:p>
      <w:pPr>
        <w:pStyle w:val="Normal"/>
        <w:spacing w:before="103" w:after="0"/>
        <w:ind w:left="679" w:hanging="0"/>
        <w:rPr>
          <w:sz w:val="24"/>
          <w:lang w:val="en-GB"/>
        </w:rPr>
      </w:pPr>
      <w:r>
        <w:rPr>
          <w:color w:val="FFFFFF"/>
          <w:sz w:val="25"/>
          <w:lang w:val="en-GB"/>
        </w:rPr>
        <w:t xml:space="preserve">3500 BH </w:t>
      </w:r>
      <w:r>
        <w:rPr>
          <w:color w:val="FFFFFF"/>
          <w:spacing w:val="-2"/>
          <w:sz w:val="25"/>
          <w:lang w:val="en-GB"/>
        </w:rPr>
        <w:t>Utrecht</w:t>
      </w:r>
    </w:p>
    <w:p>
      <w:pPr>
        <w:pStyle w:val="Normal"/>
        <w:spacing w:before="98" w:after="0"/>
        <w:ind w:left="644" w:right="6" w:hanging="0"/>
        <w:jc w:val="center"/>
        <w:rPr>
          <w:rFonts w:ascii="Arial Black" w:hAnsi="Arial Black"/>
          <w:sz w:val="24"/>
        </w:rPr>
      </w:pPr>
      <w:r>
        <w:br w:type="column"/>
      </w:r>
      <w:r>
        <w:rPr>
          <w:rFonts w:ascii="Arial Black" w:hAnsi="Arial Black"/>
          <w:color w:val="FFFFFF"/>
          <w:spacing w:val="-2"/>
          <w:sz w:val="25"/>
        </w:rPr>
        <w:t>Visiting address:</w:t>
      </w:r>
    </w:p>
    <w:p>
      <w:pPr>
        <w:pStyle w:val="Normal"/>
        <w:spacing w:before="75" w:after="0"/>
        <w:ind w:left="644" w:right="5" w:hanging="0"/>
        <w:jc w:val="center"/>
        <w:rPr>
          <w:sz w:val="24"/>
        </w:rPr>
      </w:pPr>
      <w:r>
        <w:rPr>
          <w:color w:val="FFFFFF"/>
          <w:w w:val="105"/>
          <w:sz w:val="25"/>
        </w:rPr>
        <w:t>Drieharingstraat</w:t>
      </w:r>
      <w:r>
        <w:rPr>
          <w:color w:val="FFFFFF"/>
          <w:spacing w:val="-10"/>
          <w:w w:val="105"/>
          <w:sz w:val="25"/>
        </w:rPr>
        <w:t xml:space="preserve"> 6</w:t>
      </w:r>
    </w:p>
    <w:p>
      <w:pPr>
        <w:pStyle w:val="Normal"/>
        <w:spacing w:before="98" w:after="0"/>
        <w:ind w:left="644" w:hanging="0"/>
        <w:jc w:val="center"/>
        <w:rPr>
          <w:sz w:val="24"/>
        </w:rPr>
      </w:pPr>
      <w:r>
        <w:rPr>
          <w:color w:val="FFFFFF"/>
          <w:spacing w:val="-10"/>
          <w:sz w:val="25"/>
        </w:rPr>
        <w:t>3511 BJ Utrecht</w:t>
      </w:r>
    </w:p>
    <w:p>
      <w:pPr>
        <w:pStyle w:val="Normal"/>
        <w:spacing w:before="93" w:after="0"/>
        <w:ind w:left="679" w:hanging="0"/>
        <w:rPr>
          <w:rFonts w:ascii="Arial Black" w:hAnsi="Arial Black"/>
          <w:sz w:val="24"/>
        </w:rPr>
      </w:pPr>
      <w:r>
        <w:br w:type="column"/>
      </w:r>
      <w:r>
        <w:rPr>
          <w:rFonts w:ascii="Arial Black" w:hAnsi="Arial Black"/>
          <w:color w:val="FFFFFF"/>
          <w:spacing w:val="-7"/>
          <w:sz w:val="25"/>
        </w:rPr>
        <w:t>Contact details:</w:t>
      </w:r>
    </w:p>
    <w:p>
      <w:pPr>
        <w:pStyle w:val="Normal"/>
        <w:spacing w:before="75" w:after="0"/>
        <w:ind w:left="1294" w:hanging="0"/>
        <w:rPr>
          <w:sz w:val="24"/>
        </w:rPr>
      </w:pPr>
      <w:r>
        <w:rPr>
          <w:color w:val="FFFFFF"/>
          <w:sz w:val="25"/>
        </w:rPr>
        <w:t>030 231</w:t>
      </w:r>
      <w:r>
        <w:rPr>
          <w:color w:val="FFFFFF"/>
          <w:spacing w:val="-4"/>
          <w:sz w:val="25"/>
        </w:rPr>
        <w:t xml:space="preserve"> 6464</w:t>
      </w:r>
    </w:p>
    <w:p>
      <w:pPr>
        <w:pStyle w:val="Normal"/>
        <w:spacing w:before="103" w:after="0"/>
        <w:ind w:left="1356" w:hanging="0"/>
        <w:rPr>
          <w:sz w:val="24"/>
        </w:rPr>
      </w:pPr>
      <w:hyperlink r:id="rId90">
        <w:r>
          <w:rPr>
            <w:color w:val="FFFFFF"/>
            <w:spacing w:val="-2"/>
            <w:sz w:val="25"/>
          </w:rPr>
          <w:t>Lsvb@lsvb.nl</w:t>
        </w:r>
      </w:hyperlink>
    </w:p>
    <w:sectPr>
      <w:type w:val="continuous"/>
      <w:pgSz w:w="11906" w:h="16838"/>
      <w:pgMar w:left="141" w:right="141" w:gutter="0" w:header="0" w:top="1940" w:footer="0" w:bottom="280"/>
      <w:cols w:num="3" w:equalWidth="false" w:sep="false">
        <w:col w:w="2563" w:space="1426"/>
        <w:col w:w="2756" w:space="1412"/>
        <w:col w:w="3465"/>
      </w:cols>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Arial">
    <w:charset w:val="01"/>
    <w:family w:val="roman"/>
    <w:pitch w:val="variable"/>
  </w:font>
  <w:font w:name="Arial Black">
    <w:charset w:val="01"/>
    <w:family w:val="roman"/>
    <w:pitch w:val="variable"/>
  </w:font>
  <w:font w:name="Carlito">
    <w:altName w:val="Calibri"/>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0">
              <wp:simplePos x="0" y="0"/>
              <wp:positionH relativeFrom="page">
                <wp:posOffset>0</wp:posOffset>
              </wp:positionH>
              <wp:positionV relativeFrom="page">
                <wp:posOffset>0</wp:posOffset>
              </wp:positionV>
              <wp:extent cx="160655" cy="195580"/>
              <wp:effectExtent l="0" t="0" r="0" b="0"/>
              <wp:wrapNone/>
              <wp:docPr id="9" name="Textbox 3"/>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fldChar w:fldCharType="begin"/>
                    </w:r>
                    <w:r>
                      <w:rPr/>
                      <w:instrText xml:space="preserve"> PAGE </w:instrText>
                    </w:r>
                    <w:r>
                      <w:rPr/>
                      <w:fldChar w:fldCharType="separate"/>
                    </w:r>
                    <w:r>
                      <w:rPr/>
                      <w:t>0</w:t>
                    </w:r>
                    <w:r>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
              <wp:simplePos x="0" y="0"/>
              <wp:positionH relativeFrom="page">
                <wp:posOffset>6549390</wp:posOffset>
              </wp:positionH>
              <wp:positionV relativeFrom="page">
                <wp:posOffset>9884410</wp:posOffset>
              </wp:positionV>
              <wp:extent cx="160655" cy="195580"/>
              <wp:effectExtent l="0" t="0" r="0" b="0"/>
              <wp:wrapNone/>
              <wp:docPr id="10" name="Textbox 6"/>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fldChar w:fldCharType="begin"/>
                          </w:r>
                          <w:r>
                            <w:rPr/>
                            <w:instrText xml:space="preserve"> PAGE </w:instrText>
                          </w:r>
                          <w:r>
                            <w:rPr/>
                            <w:fldChar w:fldCharType="separate"/>
                          </w:r>
                          <w:r>
                            <w:rPr/>
                            <w:t>1</w:t>
                          </w:r>
                          <w:r>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
              <wp:simplePos x="0" y="0"/>
              <wp:positionH relativeFrom="page">
                <wp:posOffset>6549390</wp:posOffset>
              </wp:positionH>
              <wp:positionV relativeFrom="page">
                <wp:posOffset>9884410</wp:posOffset>
              </wp:positionV>
              <wp:extent cx="160655" cy="195580"/>
              <wp:effectExtent l="0" t="0" r="0" b="0"/>
              <wp:wrapNone/>
              <wp:docPr id="11" name="Textbox 6"/>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fldChar w:fldCharType="begin"/>
                          </w:r>
                          <w:r>
                            <w:rPr/>
                            <w:instrText xml:space="preserve"> PAGE </w:instrText>
                          </w:r>
                          <w:r>
                            <w:rPr/>
                            <w:fldChar w:fldCharType="separate"/>
                          </w:r>
                          <w:r>
                            <w:rPr/>
                            <w:t>1</w:t>
                          </w:r>
                          <w:r>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1">
              <wp:simplePos x="0" y="0"/>
              <wp:positionH relativeFrom="page">
                <wp:posOffset>0</wp:posOffset>
              </wp:positionH>
              <wp:positionV relativeFrom="page">
                <wp:posOffset>0</wp:posOffset>
              </wp:positionV>
              <wp:extent cx="208915" cy="195580"/>
              <wp:effectExtent l="0" t="0" r="0" b="0"/>
              <wp:wrapNone/>
              <wp:docPr id="15" name="Textbox 4"/>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0</w:t>
                    </w:r>
                    <w:r>
                      <w:rPr/>
                      <w:fldChar w:fldCharType="end"/>
                    </w:r>
                  </w:p>
                </w:txbxContent>
              </v:textbox>
              <w10:wrap type="none"/>
            </v:rect>
          </w:pict>
        </mc:Fallback>
      </mc:AlternateContent>
      <w:drawing>
        <wp:anchor behindDoc="1" distT="0" distB="0" distL="0" distR="0" simplePos="0" locked="0" layoutInCell="1" allowOverlap="1" relativeHeight="0">
          <wp:simplePos x="0" y="0"/>
          <wp:positionH relativeFrom="page">
            <wp:posOffset>6440170</wp:posOffset>
          </wp:positionH>
          <wp:positionV relativeFrom="page">
            <wp:posOffset>9792970</wp:posOffset>
          </wp:positionV>
          <wp:extent cx="381000" cy="381000"/>
          <wp:effectExtent l="0" t="0" r="0" b="0"/>
          <wp:wrapNone/>
          <wp:docPr id="16" name="Image 10 Copy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0 Copy 2"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8">
              <wp:simplePos x="0" y="0"/>
              <wp:positionH relativeFrom="page">
                <wp:posOffset>6501765</wp:posOffset>
              </wp:positionH>
              <wp:positionV relativeFrom="page">
                <wp:posOffset>9884410</wp:posOffset>
              </wp:positionV>
              <wp:extent cx="208915" cy="195580"/>
              <wp:effectExtent l="0" t="0" r="0" b="0"/>
              <wp:wrapNone/>
              <wp:docPr id="17" name="Textbox 11"/>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2</w:t>
                          </w:r>
                          <w:r>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2</w:t>
                    </w:r>
                    <w:r>
                      <w:rPr/>
                      <w:fldChar w:fldCharType="end"/>
                    </w:r>
                  </w:p>
                </w:txbxContent>
              </v:textbox>
              <w10:wrap type="none"/>
            </v:rect>
          </w:pict>
        </mc:Fallback>
      </mc:AlternateContent>
      <w:drawing>
        <wp:anchor behindDoc="1" distT="0" distB="0" distL="0" distR="0" simplePos="0" locked="0" layoutInCell="0" allowOverlap="1" relativeHeight="14">
          <wp:simplePos x="0" y="0"/>
          <wp:positionH relativeFrom="page">
            <wp:posOffset>6440170</wp:posOffset>
          </wp:positionH>
          <wp:positionV relativeFrom="page">
            <wp:posOffset>9792970</wp:posOffset>
          </wp:positionV>
          <wp:extent cx="381000" cy="381000"/>
          <wp:effectExtent l="0" t="0" r="0" b="0"/>
          <wp:wrapNone/>
          <wp:docPr id="18"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0"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8">
              <wp:simplePos x="0" y="0"/>
              <wp:positionH relativeFrom="page">
                <wp:posOffset>6501765</wp:posOffset>
              </wp:positionH>
              <wp:positionV relativeFrom="page">
                <wp:posOffset>9884410</wp:posOffset>
              </wp:positionV>
              <wp:extent cx="208915" cy="195580"/>
              <wp:effectExtent l="0" t="0" r="0" b="0"/>
              <wp:wrapNone/>
              <wp:docPr id="19" name="Textbox 11"/>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2</w:t>
                          </w:r>
                          <w:r>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2</w:t>
                    </w:r>
                    <w:r>
                      <w:rPr/>
                      <w:fldChar w:fldCharType="end"/>
                    </w:r>
                  </w:p>
                </w:txbxContent>
              </v:textbox>
              <w10:wrap type="none"/>
            </v:rect>
          </w:pict>
        </mc:Fallback>
      </mc:AlternateContent>
      <w:drawing>
        <wp:anchor behindDoc="1" distT="0" distB="0" distL="0" distR="0" simplePos="0" locked="0" layoutInCell="0" allowOverlap="1" relativeHeight="14">
          <wp:simplePos x="0" y="0"/>
          <wp:positionH relativeFrom="page">
            <wp:posOffset>6440170</wp:posOffset>
          </wp:positionH>
          <wp:positionV relativeFrom="page">
            <wp:posOffset>9792970</wp:posOffset>
          </wp:positionV>
          <wp:extent cx="381000" cy="381000"/>
          <wp:effectExtent l="0" t="0" r="0" b="0"/>
          <wp:wrapNone/>
          <wp:docPr id="20"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10"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9">
          <wp:simplePos x="0" y="0"/>
          <wp:positionH relativeFrom="page">
            <wp:posOffset>6440170</wp:posOffset>
          </wp:positionH>
          <wp:positionV relativeFrom="page">
            <wp:posOffset>9792970</wp:posOffset>
          </wp:positionV>
          <wp:extent cx="381000" cy="381000"/>
          <wp:effectExtent l="0" t="0" r="0" b="0"/>
          <wp:wrapNone/>
          <wp:docPr id="24" name="Image 10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10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35">
              <wp:simplePos x="0" y="0"/>
              <wp:positionH relativeFrom="page">
                <wp:posOffset>6501765</wp:posOffset>
              </wp:positionH>
              <wp:positionV relativeFrom="page">
                <wp:posOffset>9884410</wp:posOffset>
              </wp:positionV>
              <wp:extent cx="208915" cy="195580"/>
              <wp:effectExtent l="0" t="0" r="0" b="0"/>
              <wp:wrapNone/>
              <wp:docPr id="25" name="Textbox 2"/>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3</w:t>
                          </w:r>
                          <w:r>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3</w:t>
                    </w:r>
                    <w:r>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9">
          <wp:simplePos x="0" y="0"/>
          <wp:positionH relativeFrom="page">
            <wp:posOffset>6440170</wp:posOffset>
          </wp:positionH>
          <wp:positionV relativeFrom="page">
            <wp:posOffset>9792970</wp:posOffset>
          </wp:positionV>
          <wp:extent cx="381000" cy="381000"/>
          <wp:effectExtent l="0" t="0" r="0" b="0"/>
          <wp:wrapNone/>
          <wp:docPr id="26" name="Image 10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10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35">
              <wp:simplePos x="0" y="0"/>
              <wp:positionH relativeFrom="page">
                <wp:posOffset>6501765</wp:posOffset>
              </wp:positionH>
              <wp:positionV relativeFrom="page">
                <wp:posOffset>9884410</wp:posOffset>
              </wp:positionV>
              <wp:extent cx="208915" cy="195580"/>
              <wp:effectExtent l="0" t="0" r="0" b="0"/>
              <wp:wrapNone/>
              <wp:docPr id="27" name="Textbox 2"/>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3</w:t>
                          </w:r>
                          <w:r>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3</w:t>
                    </w:r>
                    <w:r>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34">
          <wp:simplePos x="0" y="0"/>
          <wp:positionH relativeFrom="page">
            <wp:posOffset>6440170</wp:posOffset>
          </wp:positionH>
          <wp:positionV relativeFrom="page">
            <wp:posOffset>9792970</wp:posOffset>
          </wp:positionV>
          <wp:extent cx="381000" cy="381000"/>
          <wp:effectExtent l="0" t="0" r="0" b="0"/>
          <wp:wrapNone/>
          <wp:docPr id="31" name="Image 10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10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40">
              <wp:simplePos x="0" y="0"/>
              <wp:positionH relativeFrom="page">
                <wp:posOffset>6501765</wp:posOffset>
              </wp:positionH>
              <wp:positionV relativeFrom="page">
                <wp:posOffset>9884410</wp:posOffset>
              </wp:positionV>
              <wp:extent cx="208915" cy="195580"/>
              <wp:effectExtent l="0" t="0" r="0" b="0"/>
              <wp:wrapNone/>
              <wp:docPr id="32" name="Textbox 8"/>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4</w:t>
                          </w:r>
                          <w:r>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4</w:t>
                    </w:r>
                    <w:r>
                      <w:rPr/>
                      <w:fldChar w:fldCharType="end"/>
                    </w:r>
                  </w:p>
                </w:txbxContent>
              </v:textbox>
              <w10:wrap type="none"/>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34">
          <wp:simplePos x="0" y="0"/>
          <wp:positionH relativeFrom="page">
            <wp:posOffset>6440170</wp:posOffset>
          </wp:positionH>
          <wp:positionV relativeFrom="page">
            <wp:posOffset>9792970</wp:posOffset>
          </wp:positionV>
          <wp:extent cx="381000" cy="381000"/>
          <wp:effectExtent l="0" t="0" r="0" b="0"/>
          <wp:wrapNone/>
          <wp:docPr id="33" name="Image 10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10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40">
              <wp:simplePos x="0" y="0"/>
              <wp:positionH relativeFrom="page">
                <wp:posOffset>6501765</wp:posOffset>
              </wp:positionH>
              <wp:positionV relativeFrom="page">
                <wp:posOffset>9884410</wp:posOffset>
              </wp:positionV>
              <wp:extent cx="208915" cy="195580"/>
              <wp:effectExtent l="0" t="0" r="0" b="0"/>
              <wp:wrapNone/>
              <wp:docPr id="34" name="Textbox 8"/>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4</w:t>
                          </w:r>
                          <w:r>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4</w:t>
                    </w:r>
                    <w:r>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39">
          <wp:simplePos x="0" y="0"/>
          <wp:positionH relativeFrom="page">
            <wp:posOffset>6440170</wp:posOffset>
          </wp:positionH>
          <wp:positionV relativeFrom="page">
            <wp:posOffset>9792970</wp:posOffset>
          </wp:positionV>
          <wp:extent cx="381000" cy="381000"/>
          <wp:effectExtent l="0" t="0" r="0" b="0"/>
          <wp:wrapNone/>
          <wp:docPr id="38" name="Image 10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10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45">
              <wp:simplePos x="0" y="0"/>
              <wp:positionH relativeFrom="page">
                <wp:posOffset>6501765</wp:posOffset>
              </wp:positionH>
              <wp:positionV relativeFrom="page">
                <wp:posOffset>9884410</wp:posOffset>
              </wp:positionV>
              <wp:extent cx="208915" cy="195580"/>
              <wp:effectExtent l="0" t="0" r="0" b="0"/>
              <wp:wrapNone/>
              <wp:docPr id="39" name="Textbox 12"/>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5</w:t>
                          </w:r>
                          <w:r>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5</w:t>
                    </w:r>
                    <w:r>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39">
          <wp:simplePos x="0" y="0"/>
          <wp:positionH relativeFrom="page">
            <wp:posOffset>6440170</wp:posOffset>
          </wp:positionH>
          <wp:positionV relativeFrom="page">
            <wp:posOffset>9792970</wp:posOffset>
          </wp:positionV>
          <wp:extent cx="381000" cy="381000"/>
          <wp:effectExtent l="0" t="0" r="0" b="0"/>
          <wp:wrapNone/>
          <wp:docPr id="40" name="Image 10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10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45">
              <wp:simplePos x="0" y="0"/>
              <wp:positionH relativeFrom="page">
                <wp:posOffset>6501765</wp:posOffset>
              </wp:positionH>
              <wp:positionV relativeFrom="page">
                <wp:posOffset>9884410</wp:posOffset>
              </wp:positionV>
              <wp:extent cx="208915" cy="195580"/>
              <wp:effectExtent l="0" t="0" r="0" b="0"/>
              <wp:wrapNone/>
              <wp:docPr id="41" name="Textbox 12"/>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5</w:t>
                          </w:r>
                          <w:r>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5</w:t>
                    </w:r>
                    <w:r>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44">
          <wp:simplePos x="0" y="0"/>
          <wp:positionH relativeFrom="page">
            <wp:posOffset>6440170</wp:posOffset>
          </wp:positionH>
          <wp:positionV relativeFrom="page">
            <wp:posOffset>9792970</wp:posOffset>
          </wp:positionV>
          <wp:extent cx="381000" cy="381000"/>
          <wp:effectExtent l="0" t="0" r="0" b="0"/>
          <wp:wrapNone/>
          <wp:docPr id="44" name="Image 10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10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50">
              <wp:simplePos x="0" y="0"/>
              <wp:positionH relativeFrom="page">
                <wp:posOffset>6501765</wp:posOffset>
              </wp:positionH>
              <wp:positionV relativeFrom="page">
                <wp:posOffset>9884410</wp:posOffset>
              </wp:positionV>
              <wp:extent cx="208915" cy="195580"/>
              <wp:effectExtent l="0" t="0" r="0" b="0"/>
              <wp:wrapNone/>
              <wp:docPr id="45" name="Textbox 14"/>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6</w:t>
                          </w:r>
                          <w:r>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6</w:t>
                    </w:r>
                    <w:r>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44">
          <wp:simplePos x="0" y="0"/>
          <wp:positionH relativeFrom="page">
            <wp:posOffset>6440170</wp:posOffset>
          </wp:positionH>
          <wp:positionV relativeFrom="page">
            <wp:posOffset>9792970</wp:posOffset>
          </wp:positionV>
          <wp:extent cx="381000" cy="381000"/>
          <wp:effectExtent l="0" t="0" r="0" b="0"/>
          <wp:wrapNone/>
          <wp:docPr id="46" name="Image 10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10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50">
              <wp:simplePos x="0" y="0"/>
              <wp:positionH relativeFrom="page">
                <wp:posOffset>6501765</wp:posOffset>
              </wp:positionH>
              <wp:positionV relativeFrom="page">
                <wp:posOffset>9884410</wp:posOffset>
              </wp:positionV>
              <wp:extent cx="208915" cy="195580"/>
              <wp:effectExtent l="0" t="0" r="0" b="0"/>
              <wp:wrapNone/>
              <wp:docPr id="47" name="Textbox 14"/>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6</w:t>
                          </w:r>
                          <w:r>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6</w:t>
                    </w:r>
                    <w:r>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49">
          <wp:simplePos x="0" y="0"/>
          <wp:positionH relativeFrom="page">
            <wp:posOffset>6440170</wp:posOffset>
          </wp:positionH>
          <wp:positionV relativeFrom="page">
            <wp:posOffset>9792970</wp:posOffset>
          </wp:positionV>
          <wp:extent cx="381000" cy="381000"/>
          <wp:effectExtent l="0" t="0" r="0" b="0"/>
          <wp:wrapNone/>
          <wp:docPr id="51" name="Image 10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10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55">
              <wp:simplePos x="0" y="0"/>
              <wp:positionH relativeFrom="page">
                <wp:posOffset>6501765</wp:posOffset>
              </wp:positionH>
              <wp:positionV relativeFrom="page">
                <wp:posOffset>9884410</wp:posOffset>
              </wp:positionV>
              <wp:extent cx="208915" cy="195580"/>
              <wp:effectExtent l="0" t="0" r="0" b="0"/>
              <wp:wrapNone/>
              <wp:docPr id="52" name="Textbox 16"/>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7</w:t>
                          </w:r>
                          <w:r>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7</w:t>
                    </w:r>
                    <w:r>
                      <w:rPr/>
                      <w:fldChar w:fldCharType="end"/>
                    </w:r>
                  </w:p>
                </w:txbxContent>
              </v:textbox>
              <w10:wrap type="none"/>
            </v:rect>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49">
          <wp:simplePos x="0" y="0"/>
          <wp:positionH relativeFrom="page">
            <wp:posOffset>6440170</wp:posOffset>
          </wp:positionH>
          <wp:positionV relativeFrom="page">
            <wp:posOffset>9792970</wp:posOffset>
          </wp:positionV>
          <wp:extent cx="381000" cy="381000"/>
          <wp:effectExtent l="0" t="0" r="0" b="0"/>
          <wp:wrapNone/>
          <wp:docPr id="53" name="Image 10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10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55">
              <wp:simplePos x="0" y="0"/>
              <wp:positionH relativeFrom="page">
                <wp:posOffset>6501765</wp:posOffset>
              </wp:positionH>
              <wp:positionV relativeFrom="page">
                <wp:posOffset>9884410</wp:posOffset>
              </wp:positionV>
              <wp:extent cx="208915" cy="195580"/>
              <wp:effectExtent l="0" t="0" r="0" b="0"/>
              <wp:wrapNone/>
              <wp:docPr id="54" name="Textbox 16"/>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7</w:t>
                          </w:r>
                          <w:r>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7</w:t>
                    </w:r>
                    <w:r>
                      <w:rPr/>
                      <w:fldChar w:fldCharType="end"/>
                    </w:r>
                  </w:p>
                </w:txbxContent>
              </v:textbox>
              <w10:wrap type="none"/>
            </v:rect>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54">
          <wp:simplePos x="0" y="0"/>
          <wp:positionH relativeFrom="page">
            <wp:posOffset>6440170</wp:posOffset>
          </wp:positionH>
          <wp:positionV relativeFrom="page">
            <wp:posOffset>9792970</wp:posOffset>
          </wp:positionV>
          <wp:extent cx="381000" cy="381000"/>
          <wp:effectExtent l="0" t="0" r="0" b="0"/>
          <wp:wrapNone/>
          <wp:docPr id="58" name="Image 10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10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60">
              <wp:simplePos x="0" y="0"/>
              <wp:positionH relativeFrom="page">
                <wp:posOffset>6501765</wp:posOffset>
              </wp:positionH>
              <wp:positionV relativeFrom="page">
                <wp:posOffset>9884410</wp:posOffset>
              </wp:positionV>
              <wp:extent cx="208915" cy="195580"/>
              <wp:effectExtent l="0" t="0" r="0" b="0"/>
              <wp:wrapNone/>
              <wp:docPr id="59" name="Textbox 18"/>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8</w:t>
                          </w:r>
                          <w:r>
                            <w:rPr/>
                            <w:fldChar w:fldCharType="end"/>
                          </w:r>
                        </w:p>
                      </w:txbxContent>
                    </wps:txbx>
                    <wps:bodyPr lIns="0" rIns="0" tIns="0" bIns="0" anchor="t">
                      <a:noAutofit/>
                    </wps:bodyPr>
                  </wps:wsp>
                </a:graphicData>
              </a:graphic>
            </wp:anchor>
          </w:drawing>
        </mc:Choice>
        <mc:Fallback>
          <w:pict>
            <v:rect id="shape_0" ID="Textbox 18"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8</w:t>
                    </w:r>
                    <w:r>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54">
          <wp:simplePos x="0" y="0"/>
          <wp:positionH relativeFrom="page">
            <wp:posOffset>6440170</wp:posOffset>
          </wp:positionH>
          <wp:positionV relativeFrom="page">
            <wp:posOffset>9792970</wp:posOffset>
          </wp:positionV>
          <wp:extent cx="381000" cy="381000"/>
          <wp:effectExtent l="0" t="0" r="0" b="0"/>
          <wp:wrapNone/>
          <wp:docPr id="60" name="Image 10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10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60">
              <wp:simplePos x="0" y="0"/>
              <wp:positionH relativeFrom="page">
                <wp:posOffset>6501765</wp:posOffset>
              </wp:positionH>
              <wp:positionV relativeFrom="page">
                <wp:posOffset>9884410</wp:posOffset>
              </wp:positionV>
              <wp:extent cx="208915" cy="195580"/>
              <wp:effectExtent l="0" t="0" r="0" b="0"/>
              <wp:wrapNone/>
              <wp:docPr id="61" name="Textbox 18"/>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8</w:t>
                          </w:r>
                          <w:r>
                            <w:rPr/>
                            <w:fldChar w:fldCharType="end"/>
                          </w:r>
                        </w:p>
                      </w:txbxContent>
                    </wps:txbx>
                    <wps:bodyPr lIns="0" rIns="0" tIns="0" bIns="0" anchor="t">
                      <a:noAutofit/>
                    </wps:bodyPr>
                  </wps:wsp>
                </a:graphicData>
              </a:graphic>
            </wp:anchor>
          </w:drawing>
        </mc:Choice>
        <mc:Fallback>
          <w:pict>
            <v:rect id="shape_0" ID="Textbox 18"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8</w:t>
                    </w:r>
                    <w:r>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59">
          <wp:simplePos x="0" y="0"/>
          <wp:positionH relativeFrom="page">
            <wp:posOffset>6440170</wp:posOffset>
          </wp:positionH>
          <wp:positionV relativeFrom="page">
            <wp:posOffset>9792970</wp:posOffset>
          </wp:positionV>
          <wp:extent cx="381000" cy="381000"/>
          <wp:effectExtent l="0" t="0" r="0" b="0"/>
          <wp:wrapNone/>
          <wp:docPr id="65" name="Image 10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10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65">
              <wp:simplePos x="0" y="0"/>
              <wp:positionH relativeFrom="page">
                <wp:posOffset>6501765</wp:posOffset>
              </wp:positionH>
              <wp:positionV relativeFrom="page">
                <wp:posOffset>9884410</wp:posOffset>
              </wp:positionV>
              <wp:extent cx="208915" cy="195580"/>
              <wp:effectExtent l="0" t="0" r="0" b="0"/>
              <wp:wrapNone/>
              <wp:docPr id="66" name="Textbox 20"/>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9</w:t>
                          </w:r>
                          <w:r>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9</w:t>
                    </w:r>
                    <w:r>
                      <w:rPr/>
                      <w:fldChar w:fldCharType="end"/>
                    </w:r>
                  </w:p>
                </w:txbxContent>
              </v:textbox>
              <w10:wrap type="none"/>
            </v:rect>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59">
          <wp:simplePos x="0" y="0"/>
          <wp:positionH relativeFrom="page">
            <wp:posOffset>6440170</wp:posOffset>
          </wp:positionH>
          <wp:positionV relativeFrom="page">
            <wp:posOffset>9792970</wp:posOffset>
          </wp:positionV>
          <wp:extent cx="381000" cy="381000"/>
          <wp:effectExtent l="0" t="0" r="0" b="0"/>
          <wp:wrapNone/>
          <wp:docPr id="67" name="Image 10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10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65">
              <wp:simplePos x="0" y="0"/>
              <wp:positionH relativeFrom="page">
                <wp:posOffset>6501765</wp:posOffset>
              </wp:positionH>
              <wp:positionV relativeFrom="page">
                <wp:posOffset>9884410</wp:posOffset>
              </wp:positionV>
              <wp:extent cx="208915" cy="195580"/>
              <wp:effectExtent l="0" t="0" r="0" b="0"/>
              <wp:wrapNone/>
              <wp:docPr id="68" name="Textbox 20"/>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9</w:t>
                          </w:r>
                          <w:r>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9</w:t>
                    </w:r>
                    <w:r>
                      <w:rPr/>
                      <w:fldChar w:fldCharType="end"/>
                    </w:r>
                  </w:p>
                </w:txbxContent>
              </v:textbox>
              <w10:wrap type="none"/>
            </v:rect>
          </w:pict>
        </mc:Fallback>
      </mc:AlternateConten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64">
          <wp:simplePos x="0" y="0"/>
          <wp:positionH relativeFrom="page">
            <wp:posOffset>6440170</wp:posOffset>
          </wp:positionH>
          <wp:positionV relativeFrom="page">
            <wp:posOffset>9792970</wp:posOffset>
          </wp:positionV>
          <wp:extent cx="381000" cy="381000"/>
          <wp:effectExtent l="0" t="0" r="0" b="0"/>
          <wp:wrapNone/>
          <wp:docPr id="72" name="Image 10 Copy 1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10 Copy 1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70">
              <wp:simplePos x="0" y="0"/>
              <wp:positionH relativeFrom="page">
                <wp:posOffset>6501765</wp:posOffset>
              </wp:positionH>
              <wp:positionV relativeFrom="page">
                <wp:posOffset>9884410</wp:posOffset>
              </wp:positionV>
              <wp:extent cx="208915" cy="195580"/>
              <wp:effectExtent l="0" t="0" r="0" b="0"/>
              <wp:wrapNone/>
              <wp:docPr id="73" name="Textbox 22"/>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10</w:t>
                          </w:r>
                          <w:r>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10</w:t>
                    </w:r>
                    <w:r>
                      <w:rPr/>
                      <w:fldChar w:fldCharType="end"/>
                    </w:r>
                  </w:p>
                </w:txbxContent>
              </v:textbox>
              <w10:wrap type="none"/>
            </v:rect>
          </w:pict>
        </mc:Fallback>
      </mc:AlternateConten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64">
          <wp:simplePos x="0" y="0"/>
          <wp:positionH relativeFrom="page">
            <wp:posOffset>6440170</wp:posOffset>
          </wp:positionH>
          <wp:positionV relativeFrom="page">
            <wp:posOffset>9792970</wp:posOffset>
          </wp:positionV>
          <wp:extent cx="381000" cy="381000"/>
          <wp:effectExtent l="0" t="0" r="0" b="0"/>
          <wp:wrapNone/>
          <wp:docPr id="74" name="Image 10 Copy 1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10 Copy 1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70">
              <wp:simplePos x="0" y="0"/>
              <wp:positionH relativeFrom="page">
                <wp:posOffset>6501765</wp:posOffset>
              </wp:positionH>
              <wp:positionV relativeFrom="page">
                <wp:posOffset>9884410</wp:posOffset>
              </wp:positionV>
              <wp:extent cx="208915" cy="195580"/>
              <wp:effectExtent l="0" t="0" r="0" b="0"/>
              <wp:wrapNone/>
              <wp:docPr id="75" name="Textbox 22"/>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10</w:t>
                          </w:r>
                          <w:r>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10</w:t>
                    </w:r>
                    <w:r>
                      <w:rPr/>
                      <w:fldChar w:fldCharType="end"/>
                    </w:r>
                  </w:p>
                </w:txbxContent>
              </v:textbox>
              <w10:wrap type="none"/>
            </v:rect>
          </w:pict>
        </mc:Fallback>
      </mc:AlternateConten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69">
          <wp:simplePos x="0" y="0"/>
          <wp:positionH relativeFrom="page">
            <wp:posOffset>6440170</wp:posOffset>
          </wp:positionH>
          <wp:positionV relativeFrom="page">
            <wp:posOffset>9792970</wp:posOffset>
          </wp:positionV>
          <wp:extent cx="381000" cy="381000"/>
          <wp:effectExtent l="0" t="0" r="0" b="0"/>
          <wp:wrapNone/>
          <wp:docPr id="79" name="Image 10 Copy 1 Copy 1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10 Copy 1 Copy 1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75">
              <wp:simplePos x="0" y="0"/>
              <wp:positionH relativeFrom="page">
                <wp:posOffset>6501765</wp:posOffset>
              </wp:positionH>
              <wp:positionV relativeFrom="page">
                <wp:posOffset>9884410</wp:posOffset>
              </wp:positionV>
              <wp:extent cx="208915" cy="195580"/>
              <wp:effectExtent l="0" t="0" r="0" b="0"/>
              <wp:wrapNone/>
              <wp:docPr id="80" name="Textbox 24"/>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11</w:t>
                          </w:r>
                          <w:r>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11</w:t>
                    </w:r>
                    <w:r>
                      <w:rPr/>
                      <w:fldChar w:fldCharType="end"/>
                    </w:r>
                  </w:p>
                </w:txbxContent>
              </v:textbox>
              <w10:wrap type="none"/>
            </v:rect>
          </w:pict>
        </mc:Fallback>
      </mc:AlternateConten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69">
          <wp:simplePos x="0" y="0"/>
          <wp:positionH relativeFrom="page">
            <wp:posOffset>6440170</wp:posOffset>
          </wp:positionH>
          <wp:positionV relativeFrom="page">
            <wp:posOffset>9792970</wp:posOffset>
          </wp:positionV>
          <wp:extent cx="381000" cy="381000"/>
          <wp:effectExtent l="0" t="0" r="0" b="0"/>
          <wp:wrapNone/>
          <wp:docPr id="81" name="Image 10 Copy 1 Copy 1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10 Copy 1 Copy 1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75">
              <wp:simplePos x="0" y="0"/>
              <wp:positionH relativeFrom="page">
                <wp:posOffset>6501765</wp:posOffset>
              </wp:positionH>
              <wp:positionV relativeFrom="page">
                <wp:posOffset>9884410</wp:posOffset>
              </wp:positionV>
              <wp:extent cx="208915" cy="195580"/>
              <wp:effectExtent l="0" t="0" r="0" b="0"/>
              <wp:wrapNone/>
              <wp:docPr id="82" name="Textbox 24"/>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11</w:t>
                          </w:r>
                          <w:r>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11</w:t>
                    </w:r>
                    <w:r>
                      <w:rPr/>
                      <w:fldChar w:fldCharType="end"/>
                    </w:r>
                  </w:p>
                </w:txbxContent>
              </v:textbox>
              <w10:wrap type="none"/>
            </v:rect>
          </w:pict>
        </mc:Fallback>
      </mc:AlternateConten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74">
          <wp:simplePos x="0" y="0"/>
          <wp:positionH relativeFrom="page">
            <wp:posOffset>6440170</wp:posOffset>
          </wp:positionH>
          <wp:positionV relativeFrom="page">
            <wp:posOffset>9792970</wp:posOffset>
          </wp:positionV>
          <wp:extent cx="381000" cy="381000"/>
          <wp:effectExtent l="0" t="0" r="0" b="0"/>
          <wp:wrapNone/>
          <wp:docPr id="85" name="Image 10 Copy 1 Copy 1 Copy 1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10 Copy 1 Copy 1 Copy 1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79">
              <wp:simplePos x="0" y="0"/>
              <wp:positionH relativeFrom="page">
                <wp:posOffset>6501765</wp:posOffset>
              </wp:positionH>
              <wp:positionV relativeFrom="page">
                <wp:posOffset>9884410</wp:posOffset>
              </wp:positionV>
              <wp:extent cx="208915" cy="195580"/>
              <wp:effectExtent l="0" t="0" r="0" b="0"/>
              <wp:wrapNone/>
              <wp:docPr id="86" name="Textbox 26"/>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12</w:t>
                          </w:r>
                          <w:r>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12</w:t>
                    </w:r>
                    <w:r>
                      <w:rPr/>
                      <w:fldChar w:fldCharType="end"/>
                    </w:r>
                  </w:p>
                </w:txbxContent>
              </v:textbox>
              <w10:wrap type="none"/>
            </v:rect>
          </w:pict>
        </mc:Fallback>
      </mc:AlternateConten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74">
          <wp:simplePos x="0" y="0"/>
          <wp:positionH relativeFrom="page">
            <wp:posOffset>6440170</wp:posOffset>
          </wp:positionH>
          <wp:positionV relativeFrom="page">
            <wp:posOffset>9792970</wp:posOffset>
          </wp:positionV>
          <wp:extent cx="381000" cy="381000"/>
          <wp:effectExtent l="0" t="0" r="0" b="0"/>
          <wp:wrapNone/>
          <wp:docPr id="87" name="Image 10 Copy 1 Copy 1 Copy 1 Copy 1 Copy 1 Copy 1 Copy 1 Copy 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10 Copy 1 Copy 1 Copy 1 Copy 1 Copy 1 Copy 1 Copy 1 Copy 1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79">
              <wp:simplePos x="0" y="0"/>
              <wp:positionH relativeFrom="page">
                <wp:posOffset>6501765</wp:posOffset>
              </wp:positionH>
              <wp:positionV relativeFrom="page">
                <wp:posOffset>9884410</wp:posOffset>
              </wp:positionV>
              <wp:extent cx="208915" cy="195580"/>
              <wp:effectExtent l="0" t="0" r="0" b="0"/>
              <wp:wrapNone/>
              <wp:docPr id="88" name="Textbox 26"/>
              <a:graphic xmlns:a="http://schemas.openxmlformats.org/drawingml/2006/main">
                <a:graphicData uri="http://schemas.microsoft.com/office/word/2010/wordprocessingShape">
                  <wps:wsp>
                    <wps:cNvSpPr/>
                    <wps:spPr>
                      <a:xfrm>
                        <a:off x="0" y="0"/>
                        <a:ext cx="208800" cy="195480"/>
                      </a:xfrm>
                      <a:prstGeom prst="rect">
                        <a:avLst/>
                      </a:prstGeom>
                      <a:noFill/>
                      <a:ln w="0">
                        <a:noFill/>
                      </a:ln>
                    </wps:spPr>
                    <wps:style>
                      <a:lnRef idx="0"/>
                      <a:fillRef idx="0"/>
                      <a:effectRef idx="0"/>
                      <a:fontRef idx="minor"/>
                    </wps:style>
                    <wps:txbx>
                      <w:txbxContent>
                        <w:p>
                          <w:pPr>
                            <w:pStyle w:val="BodyText"/>
                            <w:spacing w:before="52" w:after="0"/>
                            <w:ind w:left="20" w:hanging="0"/>
                            <w:rPr/>
                          </w:pPr>
                          <w:r>
                            <w:rPr/>
                            <w:fldChar w:fldCharType="begin"/>
                          </w:r>
                          <w:r>
                            <w:rPr/>
                            <w:instrText xml:space="preserve"> PAGE </w:instrText>
                          </w:r>
                          <w:r>
                            <w:rPr/>
                            <w:fldChar w:fldCharType="separate"/>
                          </w:r>
                          <w:r>
                            <w:rPr/>
                            <w:t>12</w:t>
                          </w:r>
                          <w:r>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511.95pt;margin-top:778.3pt;width:16.4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pPr>
                    <w:r>
                      <w:rPr/>
                      <w:fldChar w:fldCharType="begin"/>
                    </w:r>
                    <w:r>
                      <w:rPr/>
                      <w:instrText xml:space="preserve"> PAGE </w:instrText>
                    </w:r>
                    <w:r>
                      <w:rPr/>
                      <w:fldChar w:fldCharType="separate"/>
                    </w:r>
                    <w:r>
                      <w:rPr/>
                      <w:t>12</w:t>
                    </w:r>
                    <w:r>
                      <w:rPr/>
                      <w:fldChar w:fldCharType="end"/>
                    </w:r>
                  </w:p>
                </w:txbxContent>
              </v:textbox>
              <w10:wrap type="none"/>
            </v:rect>
          </w:pict>
        </mc:Fallback>
      </mc:AlternateConten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
              <wp:simplePos x="0" y="0"/>
              <wp:positionH relativeFrom="page">
                <wp:posOffset>4377690</wp:posOffset>
              </wp:positionH>
              <wp:positionV relativeFrom="page">
                <wp:posOffset>436245</wp:posOffset>
              </wp:positionV>
              <wp:extent cx="2293620" cy="195580"/>
              <wp:effectExtent l="0" t="0" r="0" b="0"/>
              <wp:wrapNone/>
              <wp:docPr id="7" name="Textbox 5"/>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
              <wp:simplePos x="0" y="0"/>
              <wp:positionH relativeFrom="page">
                <wp:posOffset>4377690</wp:posOffset>
              </wp:positionH>
              <wp:positionV relativeFrom="page">
                <wp:posOffset>436245</wp:posOffset>
              </wp:positionV>
              <wp:extent cx="2293620" cy="195580"/>
              <wp:effectExtent l="0" t="0" r="0" b="0"/>
              <wp:wrapNone/>
              <wp:docPr id="8" name="Textbox 5"/>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6">
              <wp:simplePos x="0" y="0"/>
              <wp:positionH relativeFrom="page">
                <wp:posOffset>4377690</wp:posOffset>
              </wp:positionH>
              <wp:positionV relativeFrom="page">
                <wp:posOffset>436245</wp:posOffset>
              </wp:positionV>
              <wp:extent cx="2293620" cy="195580"/>
              <wp:effectExtent l="0" t="0" r="0" b="0"/>
              <wp:wrapNone/>
              <wp:docPr id="13" name="Textbox 9"/>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6">
              <wp:simplePos x="0" y="0"/>
              <wp:positionH relativeFrom="page">
                <wp:posOffset>4377690</wp:posOffset>
              </wp:positionH>
              <wp:positionV relativeFrom="page">
                <wp:posOffset>436245</wp:posOffset>
              </wp:positionV>
              <wp:extent cx="2293620" cy="195580"/>
              <wp:effectExtent l="0" t="0" r="0" b="0"/>
              <wp:wrapNone/>
              <wp:docPr id="14" name="Textbox 9"/>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2">
              <wp:simplePos x="0" y="0"/>
              <wp:positionH relativeFrom="page">
                <wp:posOffset>4377690</wp:posOffset>
              </wp:positionH>
              <wp:positionV relativeFrom="page">
                <wp:posOffset>436245</wp:posOffset>
              </wp:positionV>
              <wp:extent cx="2293620" cy="195580"/>
              <wp:effectExtent l="0" t="0" r="0" b="0"/>
              <wp:wrapNone/>
              <wp:docPr id="22" name="Textbox 1"/>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2">
              <wp:simplePos x="0" y="0"/>
              <wp:positionH relativeFrom="page">
                <wp:posOffset>4377690</wp:posOffset>
              </wp:positionH>
              <wp:positionV relativeFrom="page">
                <wp:posOffset>436245</wp:posOffset>
              </wp:positionV>
              <wp:extent cx="2293620" cy="195580"/>
              <wp:effectExtent l="0" t="0" r="0" b="0"/>
              <wp:wrapNone/>
              <wp:docPr id="23" name="Textbox 1"/>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7">
              <wp:simplePos x="0" y="0"/>
              <wp:positionH relativeFrom="page">
                <wp:posOffset>4377690</wp:posOffset>
              </wp:positionH>
              <wp:positionV relativeFrom="page">
                <wp:posOffset>436245</wp:posOffset>
              </wp:positionV>
              <wp:extent cx="2293620" cy="195580"/>
              <wp:effectExtent l="0" t="0" r="0" b="0"/>
              <wp:wrapNone/>
              <wp:docPr id="29" name="Textbox 7"/>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7">
              <wp:simplePos x="0" y="0"/>
              <wp:positionH relativeFrom="page">
                <wp:posOffset>4377690</wp:posOffset>
              </wp:positionH>
              <wp:positionV relativeFrom="page">
                <wp:posOffset>436245</wp:posOffset>
              </wp:positionV>
              <wp:extent cx="2293620" cy="195580"/>
              <wp:effectExtent l="0" t="0" r="0" b="0"/>
              <wp:wrapNone/>
              <wp:docPr id="30" name="Textbox 7"/>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2">
              <wp:simplePos x="0" y="0"/>
              <wp:positionH relativeFrom="page">
                <wp:posOffset>4377690</wp:posOffset>
              </wp:positionH>
              <wp:positionV relativeFrom="page">
                <wp:posOffset>436245</wp:posOffset>
              </wp:positionV>
              <wp:extent cx="2293620" cy="195580"/>
              <wp:effectExtent l="0" t="0" r="0" b="0"/>
              <wp:wrapNone/>
              <wp:docPr id="36" name="Textbox 10"/>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2">
              <wp:simplePos x="0" y="0"/>
              <wp:positionH relativeFrom="page">
                <wp:posOffset>4377690</wp:posOffset>
              </wp:positionH>
              <wp:positionV relativeFrom="page">
                <wp:posOffset>436245</wp:posOffset>
              </wp:positionV>
              <wp:extent cx="2293620" cy="195580"/>
              <wp:effectExtent l="0" t="0" r="0" b="0"/>
              <wp:wrapNone/>
              <wp:docPr id="37" name="Textbox 10"/>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7">
              <wp:simplePos x="0" y="0"/>
              <wp:positionH relativeFrom="page">
                <wp:posOffset>4377690</wp:posOffset>
              </wp:positionH>
              <wp:positionV relativeFrom="page">
                <wp:posOffset>436245</wp:posOffset>
              </wp:positionV>
              <wp:extent cx="2293620" cy="195580"/>
              <wp:effectExtent l="0" t="0" r="0" b="0"/>
              <wp:wrapNone/>
              <wp:docPr id="42" name="Textbox 13"/>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7">
              <wp:simplePos x="0" y="0"/>
              <wp:positionH relativeFrom="page">
                <wp:posOffset>4377690</wp:posOffset>
              </wp:positionH>
              <wp:positionV relativeFrom="page">
                <wp:posOffset>436245</wp:posOffset>
              </wp:positionV>
              <wp:extent cx="2293620" cy="195580"/>
              <wp:effectExtent l="0" t="0" r="0" b="0"/>
              <wp:wrapNone/>
              <wp:docPr id="43" name="Textbox 13"/>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52">
              <wp:simplePos x="0" y="0"/>
              <wp:positionH relativeFrom="page">
                <wp:posOffset>4377690</wp:posOffset>
              </wp:positionH>
              <wp:positionV relativeFrom="page">
                <wp:posOffset>436245</wp:posOffset>
              </wp:positionV>
              <wp:extent cx="2293620" cy="195580"/>
              <wp:effectExtent l="0" t="0" r="0" b="0"/>
              <wp:wrapNone/>
              <wp:docPr id="49" name="Textbox 15"/>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52">
              <wp:simplePos x="0" y="0"/>
              <wp:positionH relativeFrom="page">
                <wp:posOffset>4377690</wp:posOffset>
              </wp:positionH>
              <wp:positionV relativeFrom="page">
                <wp:posOffset>436245</wp:posOffset>
              </wp:positionV>
              <wp:extent cx="2293620" cy="195580"/>
              <wp:effectExtent l="0" t="0" r="0" b="0"/>
              <wp:wrapNone/>
              <wp:docPr id="50" name="Textbox 15"/>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57">
              <wp:simplePos x="0" y="0"/>
              <wp:positionH relativeFrom="page">
                <wp:posOffset>4377690</wp:posOffset>
              </wp:positionH>
              <wp:positionV relativeFrom="page">
                <wp:posOffset>436245</wp:posOffset>
              </wp:positionV>
              <wp:extent cx="2293620" cy="195580"/>
              <wp:effectExtent l="0" t="0" r="0" b="0"/>
              <wp:wrapNone/>
              <wp:docPr id="56" name="Textbox 17"/>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57">
              <wp:simplePos x="0" y="0"/>
              <wp:positionH relativeFrom="page">
                <wp:posOffset>4377690</wp:posOffset>
              </wp:positionH>
              <wp:positionV relativeFrom="page">
                <wp:posOffset>436245</wp:posOffset>
              </wp:positionV>
              <wp:extent cx="2293620" cy="195580"/>
              <wp:effectExtent l="0" t="0" r="0" b="0"/>
              <wp:wrapNone/>
              <wp:docPr id="57" name="Textbox 17"/>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62">
              <wp:simplePos x="0" y="0"/>
              <wp:positionH relativeFrom="page">
                <wp:posOffset>4377690</wp:posOffset>
              </wp:positionH>
              <wp:positionV relativeFrom="page">
                <wp:posOffset>436245</wp:posOffset>
              </wp:positionV>
              <wp:extent cx="2293620" cy="195580"/>
              <wp:effectExtent l="0" t="0" r="0" b="0"/>
              <wp:wrapNone/>
              <wp:docPr id="63" name="Textbox 19"/>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62">
              <wp:simplePos x="0" y="0"/>
              <wp:positionH relativeFrom="page">
                <wp:posOffset>4377690</wp:posOffset>
              </wp:positionH>
              <wp:positionV relativeFrom="page">
                <wp:posOffset>436245</wp:posOffset>
              </wp:positionV>
              <wp:extent cx="2293620" cy="195580"/>
              <wp:effectExtent l="0" t="0" r="0" b="0"/>
              <wp:wrapNone/>
              <wp:docPr id="64" name="Textbox 19"/>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67">
              <wp:simplePos x="0" y="0"/>
              <wp:positionH relativeFrom="page">
                <wp:posOffset>4377690</wp:posOffset>
              </wp:positionH>
              <wp:positionV relativeFrom="page">
                <wp:posOffset>436245</wp:posOffset>
              </wp:positionV>
              <wp:extent cx="2293620" cy="195580"/>
              <wp:effectExtent l="0" t="0" r="0" b="0"/>
              <wp:wrapNone/>
              <wp:docPr id="70" name="Textbox 21"/>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67">
              <wp:simplePos x="0" y="0"/>
              <wp:positionH relativeFrom="page">
                <wp:posOffset>4377690</wp:posOffset>
              </wp:positionH>
              <wp:positionV relativeFrom="page">
                <wp:posOffset>436245</wp:posOffset>
              </wp:positionV>
              <wp:extent cx="2293620" cy="195580"/>
              <wp:effectExtent l="0" t="0" r="0" b="0"/>
              <wp:wrapNone/>
              <wp:docPr id="71" name="Textbox 21"/>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72">
              <wp:simplePos x="0" y="0"/>
              <wp:positionH relativeFrom="page">
                <wp:posOffset>4377690</wp:posOffset>
              </wp:positionH>
              <wp:positionV relativeFrom="page">
                <wp:posOffset>436245</wp:posOffset>
              </wp:positionV>
              <wp:extent cx="2293620" cy="195580"/>
              <wp:effectExtent l="0" t="0" r="0" b="0"/>
              <wp:wrapNone/>
              <wp:docPr id="77" name="Textbox 23"/>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72">
              <wp:simplePos x="0" y="0"/>
              <wp:positionH relativeFrom="page">
                <wp:posOffset>4377690</wp:posOffset>
              </wp:positionH>
              <wp:positionV relativeFrom="page">
                <wp:posOffset>436245</wp:posOffset>
              </wp:positionV>
              <wp:extent cx="2293620" cy="195580"/>
              <wp:effectExtent l="0" t="0" r="0" b="0"/>
              <wp:wrapNone/>
              <wp:docPr id="78" name="Textbox 23"/>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77">
              <wp:simplePos x="0" y="0"/>
              <wp:positionH relativeFrom="page">
                <wp:posOffset>4377690</wp:posOffset>
              </wp:positionH>
              <wp:positionV relativeFrom="page">
                <wp:posOffset>436245</wp:posOffset>
              </wp:positionV>
              <wp:extent cx="2293620" cy="195580"/>
              <wp:effectExtent l="0" t="0" r="0" b="0"/>
              <wp:wrapNone/>
              <wp:docPr id="83" name="Textbox 25"/>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77">
              <wp:simplePos x="0" y="0"/>
              <wp:positionH relativeFrom="page">
                <wp:posOffset>4377690</wp:posOffset>
              </wp:positionH>
              <wp:positionV relativeFrom="page">
                <wp:posOffset>436245</wp:posOffset>
              </wp:positionV>
              <wp:extent cx="2293620" cy="195580"/>
              <wp:effectExtent l="0" t="0" r="0" b="0"/>
              <wp:wrapNone/>
              <wp:docPr id="84" name="Textbox 25"/>
              <a:graphic xmlns:a="http://schemas.openxmlformats.org/drawingml/2006/main">
                <a:graphicData uri="http://schemas.microsoft.com/office/word/2010/wordprocessingShape">
                  <wps:wsp>
                    <wps:cNvSpPr/>
                    <wps:spPr>
                      <a:xfrm>
                        <a:off x="0" y="0"/>
                        <a:ext cx="2293560" cy="19548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344.7pt;margin-top:34.35pt;width:180.55pt;height:15.35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10"/>
                        <w:lang w:val="en-GB"/>
                      </w:rPr>
                      <w:t>Everyone in their place – February</w:t>
                    </w:r>
                    <w:r>
                      <w:rPr>
                        <w:color w:val="C00000"/>
                        <w:spacing w:val="-4"/>
                        <w:w w:val="110"/>
                        <w:lang w:val="en-GB"/>
                      </w:rPr>
                      <w:t xml:space="preserve"> 2011</w:t>
                    </w:r>
                  </w:p>
                </w:txbxContent>
              </v:textbox>
              <w10:wrap type="none"/>
            </v:rect>
          </w:pict>
        </mc:Fallback>
      </mc:AlternateContent>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5"/>
      <w:numFmt w:val="decimal"/>
      <w:lvlText w:val="%1"/>
      <w:lvlJc w:val="left"/>
      <w:pPr>
        <w:tabs>
          <w:tab w:val="num" w:pos="0"/>
        </w:tabs>
        <w:ind w:left="1612" w:hanging="338"/>
      </w:pPr>
      <w:rPr>
        <w:lang w:val="nl-NL" w:eastAsia="en-US" w:bidi="ar-SA"/>
      </w:rPr>
    </w:lvl>
    <w:lvl w:ilvl="1">
      <w:start w:val="1"/>
      <w:numFmt w:val="decimal"/>
      <w:lvlText w:val="%1.%2"/>
      <w:lvlJc w:val="left"/>
      <w:pPr>
        <w:tabs>
          <w:tab w:val="num" w:pos="0"/>
        </w:tabs>
        <w:ind w:left="1612" w:hanging="338"/>
      </w:pPr>
      <w:rPr>
        <w:sz w:val="19"/>
        <w:spacing w:val="0"/>
        <w:i w:val="false"/>
        <w:b w:val="false"/>
        <w:szCs w:val="19"/>
        <w:iCs w:val="false"/>
        <w:bCs w:val="false"/>
        <w:w w:val="88"/>
        <w:rFonts w:ascii="Arial Black" w:hAnsi="Arial Black" w:eastAsia="Arial Black" w:cs="Arial Black"/>
        <w:color w:val="C52B2F"/>
        <w:lang w:val="nl-NL" w:eastAsia="en-US" w:bidi="ar-SA"/>
      </w:rPr>
    </w:lvl>
    <w:lvl w:ilvl="2">
      <w:start w:val="0"/>
      <w:numFmt w:val="bullet"/>
      <w:lvlText w:val=""/>
      <w:lvlJc w:val="left"/>
      <w:pPr>
        <w:tabs>
          <w:tab w:val="num" w:pos="0"/>
        </w:tabs>
        <w:ind w:left="3619" w:hanging="338"/>
      </w:pPr>
      <w:rPr>
        <w:rFonts w:ascii="Symbol" w:hAnsi="Symbol" w:cs="Symbol" w:hint="default"/>
        <w:lang w:val="nl-NL" w:eastAsia="en-US" w:bidi="ar-SA"/>
      </w:rPr>
    </w:lvl>
    <w:lvl w:ilvl="3">
      <w:start w:val="0"/>
      <w:numFmt w:val="bullet"/>
      <w:lvlText w:val=""/>
      <w:lvlJc w:val="left"/>
      <w:pPr>
        <w:tabs>
          <w:tab w:val="num" w:pos="0"/>
        </w:tabs>
        <w:ind w:left="4619" w:hanging="338"/>
      </w:pPr>
      <w:rPr>
        <w:rFonts w:ascii="Symbol" w:hAnsi="Symbol" w:cs="Symbol" w:hint="default"/>
        <w:lang w:val="nl-NL" w:eastAsia="en-US" w:bidi="ar-SA"/>
      </w:rPr>
    </w:lvl>
    <w:lvl w:ilvl="4">
      <w:start w:val="0"/>
      <w:numFmt w:val="bullet"/>
      <w:lvlText w:val=""/>
      <w:lvlJc w:val="left"/>
      <w:pPr>
        <w:tabs>
          <w:tab w:val="num" w:pos="0"/>
        </w:tabs>
        <w:ind w:left="5619" w:hanging="338"/>
      </w:pPr>
      <w:rPr>
        <w:rFonts w:ascii="Symbol" w:hAnsi="Symbol" w:cs="Symbol" w:hint="default"/>
        <w:lang w:val="nl-NL" w:eastAsia="en-US" w:bidi="ar-SA"/>
      </w:rPr>
    </w:lvl>
    <w:lvl w:ilvl="5">
      <w:start w:val="0"/>
      <w:numFmt w:val="bullet"/>
      <w:lvlText w:val=""/>
      <w:lvlJc w:val="left"/>
      <w:pPr>
        <w:tabs>
          <w:tab w:val="num" w:pos="0"/>
        </w:tabs>
        <w:ind w:left="6619" w:hanging="338"/>
      </w:pPr>
      <w:rPr>
        <w:rFonts w:ascii="Symbol" w:hAnsi="Symbol" w:cs="Symbol" w:hint="default"/>
        <w:lang w:val="nl-NL" w:eastAsia="en-US" w:bidi="ar-SA"/>
      </w:rPr>
    </w:lvl>
    <w:lvl w:ilvl="6">
      <w:start w:val="0"/>
      <w:numFmt w:val="bullet"/>
      <w:lvlText w:val=""/>
      <w:lvlJc w:val="left"/>
      <w:pPr>
        <w:tabs>
          <w:tab w:val="num" w:pos="0"/>
        </w:tabs>
        <w:ind w:left="7618" w:hanging="338"/>
      </w:pPr>
      <w:rPr>
        <w:rFonts w:ascii="Symbol" w:hAnsi="Symbol" w:cs="Symbol" w:hint="default"/>
        <w:lang w:val="nl-NL" w:eastAsia="en-US" w:bidi="ar-SA"/>
      </w:rPr>
    </w:lvl>
    <w:lvl w:ilvl="7">
      <w:start w:val="0"/>
      <w:numFmt w:val="bullet"/>
      <w:lvlText w:val=""/>
      <w:lvlJc w:val="left"/>
      <w:pPr>
        <w:tabs>
          <w:tab w:val="num" w:pos="0"/>
        </w:tabs>
        <w:ind w:left="8618" w:hanging="338"/>
      </w:pPr>
      <w:rPr>
        <w:rFonts w:ascii="Symbol" w:hAnsi="Symbol" w:cs="Symbol" w:hint="default"/>
        <w:lang w:val="nl-NL" w:eastAsia="en-US" w:bidi="ar-SA"/>
      </w:rPr>
    </w:lvl>
    <w:lvl w:ilvl="8">
      <w:start w:val="0"/>
      <w:numFmt w:val="bullet"/>
      <w:lvlText w:val=""/>
      <w:lvlJc w:val="left"/>
      <w:pPr>
        <w:tabs>
          <w:tab w:val="num" w:pos="0"/>
        </w:tabs>
        <w:ind w:left="9618" w:hanging="338"/>
      </w:pPr>
      <w:rPr>
        <w:rFonts w:ascii="Symbol" w:hAnsi="Symbol" w:cs="Symbol" w:hint="default"/>
        <w:lang w:val="nl-NL" w:eastAsia="en-US" w:bidi="ar-SA"/>
      </w:rPr>
    </w:lvl>
  </w:abstractNum>
  <w:abstractNum w:abstractNumId="3">
    <w:lvl w:ilvl="0">
      <w:start w:val="4"/>
      <w:numFmt w:val="decimal"/>
      <w:lvlText w:val="%1"/>
      <w:lvlJc w:val="left"/>
      <w:pPr>
        <w:tabs>
          <w:tab w:val="num" w:pos="0"/>
        </w:tabs>
        <w:ind w:left="1612" w:hanging="338"/>
      </w:pPr>
      <w:rPr>
        <w:lang w:val="nl-NL" w:eastAsia="en-US" w:bidi="ar-SA"/>
      </w:rPr>
    </w:lvl>
    <w:lvl w:ilvl="1">
      <w:start w:val="1"/>
      <w:numFmt w:val="decimal"/>
      <w:lvlText w:val="%1.%2"/>
      <w:lvlJc w:val="left"/>
      <w:pPr>
        <w:tabs>
          <w:tab w:val="num" w:pos="0"/>
        </w:tabs>
        <w:ind w:left="1612" w:hanging="338"/>
      </w:pPr>
      <w:rPr>
        <w:sz w:val="19"/>
        <w:spacing w:val="0"/>
        <w:i w:val="false"/>
        <w:b w:val="false"/>
        <w:szCs w:val="19"/>
        <w:iCs w:val="false"/>
        <w:bCs w:val="false"/>
        <w:w w:val="88"/>
        <w:rFonts w:ascii="Arial Black" w:hAnsi="Arial Black" w:eastAsia="Arial Black" w:cs="Arial Black"/>
        <w:color w:val="C52B2F"/>
        <w:lang w:val="nl-NL" w:eastAsia="en-US" w:bidi="ar-SA"/>
      </w:rPr>
    </w:lvl>
    <w:lvl w:ilvl="2">
      <w:start w:val="0"/>
      <w:numFmt w:val="bullet"/>
      <w:lvlText w:val=""/>
      <w:lvlJc w:val="left"/>
      <w:pPr>
        <w:tabs>
          <w:tab w:val="num" w:pos="0"/>
        </w:tabs>
        <w:ind w:left="3619" w:hanging="338"/>
      </w:pPr>
      <w:rPr>
        <w:rFonts w:ascii="Symbol" w:hAnsi="Symbol" w:cs="Symbol" w:hint="default"/>
        <w:lang w:val="nl-NL" w:eastAsia="en-US" w:bidi="ar-SA"/>
      </w:rPr>
    </w:lvl>
    <w:lvl w:ilvl="3">
      <w:start w:val="0"/>
      <w:numFmt w:val="bullet"/>
      <w:lvlText w:val=""/>
      <w:lvlJc w:val="left"/>
      <w:pPr>
        <w:tabs>
          <w:tab w:val="num" w:pos="0"/>
        </w:tabs>
        <w:ind w:left="4619" w:hanging="338"/>
      </w:pPr>
      <w:rPr>
        <w:rFonts w:ascii="Symbol" w:hAnsi="Symbol" w:cs="Symbol" w:hint="default"/>
        <w:lang w:val="nl-NL" w:eastAsia="en-US" w:bidi="ar-SA"/>
      </w:rPr>
    </w:lvl>
    <w:lvl w:ilvl="4">
      <w:start w:val="0"/>
      <w:numFmt w:val="bullet"/>
      <w:lvlText w:val=""/>
      <w:lvlJc w:val="left"/>
      <w:pPr>
        <w:tabs>
          <w:tab w:val="num" w:pos="0"/>
        </w:tabs>
        <w:ind w:left="5619" w:hanging="338"/>
      </w:pPr>
      <w:rPr>
        <w:rFonts w:ascii="Symbol" w:hAnsi="Symbol" w:cs="Symbol" w:hint="default"/>
        <w:lang w:val="nl-NL" w:eastAsia="en-US" w:bidi="ar-SA"/>
      </w:rPr>
    </w:lvl>
    <w:lvl w:ilvl="5">
      <w:start w:val="0"/>
      <w:numFmt w:val="bullet"/>
      <w:lvlText w:val=""/>
      <w:lvlJc w:val="left"/>
      <w:pPr>
        <w:tabs>
          <w:tab w:val="num" w:pos="0"/>
        </w:tabs>
        <w:ind w:left="6619" w:hanging="338"/>
      </w:pPr>
      <w:rPr>
        <w:rFonts w:ascii="Symbol" w:hAnsi="Symbol" w:cs="Symbol" w:hint="default"/>
        <w:lang w:val="nl-NL" w:eastAsia="en-US" w:bidi="ar-SA"/>
      </w:rPr>
    </w:lvl>
    <w:lvl w:ilvl="6">
      <w:start w:val="0"/>
      <w:numFmt w:val="bullet"/>
      <w:lvlText w:val=""/>
      <w:lvlJc w:val="left"/>
      <w:pPr>
        <w:tabs>
          <w:tab w:val="num" w:pos="0"/>
        </w:tabs>
        <w:ind w:left="7618" w:hanging="338"/>
      </w:pPr>
      <w:rPr>
        <w:rFonts w:ascii="Symbol" w:hAnsi="Symbol" w:cs="Symbol" w:hint="default"/>
        <w:lang w:val="nl-NL" w:eastAsia="en-US" w:bidi="ar-SA"/>
      </w:rPr>
    </w:lvl>
    <w:lvl w:ilvl="7">
      <w:start w:val="0"/>
      <w:numFmt w:val="bullet"/>
      <w:lvlText w:val=""/>
      <w:lvlJc w:val="left"/>
      <w:pPr>
        <w:tabs>
          <w:tab w:val="num" w:pos="0"/>
        </w:tabs>
        <w:ind w:left="8618" w:hanging="338"/>
      </w:pPr>
      <w:rPr>
        <w:rFonts w:ascii="Symbol" w:hAnsi="Symbol" w:cs="Symbol" w:hint="default"/>
        <w:lang w:val="nl-NL" w:eastAsia="en-US" w:bidi="ar-SA"/>
      </w:rPr>
    </w:lvl>
    <w:lvl w:ilvl="8">
      <w:start w:val="0"/>
      <w:numFmt w:val="bullet"/>
      <w:lvlText w:val=""/>
      <w:lvlJc w:val="left"/>
      <w:pPr>
        <w:tabs>
          <w:tab w:val="num" w:pos="0"/>
        </w:tabs>
        <w:ind w:left="9618" w:hanging="338"/>
      </w:pPr>
      <w:rPr>
        <w:rFonts w:ascii="Symbol" w:hAnsi="Symbol" w:cs="Symbol" w:hint="default"/>
        <w:lang w:val="nl-NL" w:eastAsia="en-US" w:bidi="ar-SA"/>
      </w:rPr>
    </w:lvl>
  </w:abstractNum>
  <w:abstractNum w:abstractNumId="4">
    <w:lvl w:ilvl="0">
      <w:start w:val="3"/>
      <w:numFmt w:val="decimal"/>
      <w:lvlText w:val="%1"/>
      <w:lvlJc w:val="left"/>
      <w:pPr>
        <w:tabs>
          <w:tab w:val="num" w:pos="0"/>
        </w:tabs>
        <w:ind w:left="1612" w:hanging="338"/>
      </w:pPr>
      <w:rPr>
        <w:lang w:val="nl-NL" w:eastAsia="en-US" w:bidi="ar-SA"/>
      </w:rPr>
    </w:lvl>
    <w:lvl w:ilvl="1">
      <w:start w:val="1"/>
      <w:numFmt w:val="decimal"/>
      <w:lvlText w:val="%1.%2"/>
      <w:lvlJc w:val="left"/>
      <w:pPr>
        <w:tabs>
          <w:tab w:val="num" w:pos="0"/>
        </w:tabs>
        <w:ind w:left="1612" w:hanging="338"/>
      </w:pPr>
      <w:rPr>
        <w:sz w:val="19"/>
        <w:spacing w:val="0"/>
        <w:i w:val="false"/>
        <w:b w:val="false"/>
        <w:szCs w:val="19"/>
        <w:iCs w:val="false"/>
        <w:bCs w:val="false"/>
        <w:w w:val="88"/>
        <w:rFonts w:ascii="Arial Black" w:hAnsi="Arial Black" w:eastAsia="Arial Black" w:cs="Arial Black"/>
        <w:color w:val="C52B2F"/>
        <w:lang w:val="nl-NL" w:eastAsia="en-US" w:bidi="ar-SA"/>
      </w:rPr>
    </w:lvl>
    <w:lvl w:ilvl="2">
      <w:start w:val="0"/>
      <w:numFmt w:val="bullet"/>
      <w:lvlText w:val=""/>
      <w:lvlJc w:val="left"/>
      <w:pPr>
        <w:tabs>
          <w:tab w:val="num" w:pos="0"/>
        </w:tabs>
        <w:ind w:left="3619" w:hanging="338"/>
      </w:pPr>
      <w:rPr>
        <w:rFonts w:ascii="Symbol" w:hAnsi="Symbol" w:cs="Symbol" w:hint="default"/>
        <w:lang w:val="nl-NL" w:eastAsia="en-US" w:bidi="ar-SA"/>
      </w:rPr>
    </w:lvl>
    <w:lvl w:ilvl="3">
      <w:start w:val="0"/>
      <w:numFmt w:val="bullet"/>
      <w:lvlText w:val=""/>
      <w:lvlJc w:val="left"/>
      <w:pPr>
        <w:tabs>
          <w:tab w:val="num" w:pos="0"/>
        </w:tabs>
        <w:ind w:left="4619" w:hanging="338"/>
      </w:pPr>
      <w:rPr>
        <w:rFonts w:ascii="Symbol" w:hAnsi="Symbol" w:cs="Symbol" w:hint="default"/>
        <w:lang w:val="nl-NL" w:eastAsia="en-US" w:bidi="ar-SA"/>
      </w:rPr>
    </w:lvl>
    <w:lvl w:ilvl="4">
      <w:start w:val="0"/>
      <w:numFmt w:val="bullet"/>
      <w:lvlText w:val=""/>
      <w:lvlJc w:val="left"/>
      <w:pPr>
        <w:tabs>
          <w:tab w:val="num" w:pos="0"/>
        </w:tabs>
        <w:ind w:left="5619" w:hanging="338"/>
      </w:pPr>
      <w:rPr>
        <w:rFonts w:ascii="Symbol" w:hAnsi="Symbol" w:cs="Symbol" w:hint="default"/>
        <w:lang w:val="nl-NL" w:eastAsia="en-US" w:bidi="ar-SA"/>
      </w:rPr>
    </w:lvl>
    <w:lvl w:ilvl="5">
      <w:start w:val="0"/>
      <w:numFmt w:val="bullet"/>
      <w:lvlText w:val=""/>
      <w:lvlJc w:val="left"/>
      <w:pPr>
        <w:tabs>
          <w:tab w:val="num" w:pos="0"/>
        </w:tabs>
        <w:ind w:left="6619" w:hanging="338"/>
      </w:pPr>
      <w:rPr>
        <w:rFonts w:ascii="Symbol" w:hAnsi="Symbol" w:cs="Symbol" w:hint="default"/>
        <w:lang w:val="nl-NL" w:eastAsia="en-US" w:bidi="ar-SA"/>
      </w:rPr>
    </w:lvl>
    <w:lvl w:ilvl="6">
      <w:start w:val="0"/>
      <w:numFmt w:val="bullet"/>
      <w:lvlText w:val=""/>
      <w:lvlJc w:val="left"/>
      <w:pPr>
        <w:tabs>
          <w:tab w:val="num" w:pos="0"/>
        </w:tabs>
        <w:ind w:left="7618" w:hanging="338"/>
      </w:pPr>
      <w:rPr>
        <w:rFonts w:ascii="Symbol" w:hAnsi="Symbol" w:cs="Symbol" w:hint="default"/>
        <w:lang w:val="nl-NL" w:eastAsia="en-US" w:bidi="ar-SA"/>
      </w:rPr>
    </w:lvl>
    <w:lvl w:ilvl="7">
      <w:start w:val="0"/>
      <w:numFmt w:val="bullet"/>
      <w:lvlText w:val=""/>
      <w:lvlJc w:val="left"/>
      <w:pPr>
        <w:tabs>
          <w:tab w:val="num" w:pos="0"/>
        </w:tabs>
        <w:ind w:left="8618" w:hanging="338"/>
      </w:pPr>
      <w:rPr>
        <w:rFonts w:ascii="Symbol" w:hAnsi="Symbol" w:cs="Symbol" w:hint="default"/>
        <w:lang w:val="nl-NL" w:eastAsia="en-US" w:bidi="ar-SA"/>
      </w:rPr>
    </w:lvl>
    <w:lvl w:ilvl="8">
      <w:start w:val="0"/>
      <w:numFmt w:val="bullet"/>
      <w:lvlText w:val=""/>
      <w:lvlJc w:val="left"/>
      <w:pPr>
        <w:tabs>
          <w:tab w:val="num" w:pos="0"/>
        </w:tabs>
        <w:ind w:left="9618" w:hanging="338"/>
      </w:pPr>
      <w:rPr>
        <w:rFonts w:ascii="Symbol" w:hAnsi="Symbol" w:cs="Symbol" w:hint="default"/>
        <w:lang w:val="nl-NL" w:eastAsia="en-US" w:bidi="ar-SA"/>
      </w:rPr>
    </w:lvl>
  </w:abstractNum>
  <w:abstractNum w:abstractNumId="5">
    <w:lvl w:ilvl="0">
      <w:start w:val="5"/>
      <w:numFmt w:val="decimal"/>
      <w:lvlText w:val="%1"/>
      <w:lvlJc w:val="left"/>
      <w:pPr>
        <w:tabs>
          <w:tab w:val="num" w:pos="0"/>
        </w:tabs>
        <w:ind w:left="1828" w:hanging="334"/>
      </w:pPr>
      <w:rPr>
        <w:lang w:val="nl-NL" w:eastAsia="en-US" w:bidi="ar-SA"/>
      </w:rPr>
    </w:lvl>
    <w:lvl w:ilvl="1">
      <w:start w:val="1"/>
      <w:numFmt w:val="decimal"/>
      <w:lvlText w:val="%1.%2"/>
      <w:lvlJc w:val="left"/>
      <w:pPr>
        <w:tabs>
          <w:tab w:val="num" w:pos="0"/>
        </w:tabs>
        <w:ind w:left="1828" w:hanging="334"/>
      </w:pPr>
      <w:rPr>
        <w:sz w:val="19"/>
        <w:spacing w:val="0"/>
        <w:i w:val="false"/>
        <w:b w:val="false"/>
        <w:szCs w:val="19"/>
        <w:iCs w:val="false"/>
        <w:bCs w:val="false"/>
        <w:w w:val="104"/>
        <w:rFonts w:ascii="Arial" w:hAnsi="Arial" w:eastAsia="Arial" w:cs="Arial"/>
        <w:lang w:val="nl-NL" w:eastAsia="en-US" w:bidi="ar-SA"/>
      </w:rPr>
    </w:lvl>
    <w:lvl w:ilvl="2">
      <w:start w:val="0"/>
      <w:numFmt w:val="bullet"/>
      <w:lvlText w:val=""/>
      <w:lvlJc w:val="left"/>
      <w:pPr>
        <w:tabs>
          <w:tab w:val="num" w:pos="0"/>
        </w:tabs>
        <w:ind w:left="3779" w:hanging="334"/>
      </w:pPr>
      <w:rPr>
        <w:rFonts w:ascii="Symbol" w:hAnsi="Symbol" w:cs="Symbol" w:hint="default"/>
        <w:lang w:val="nl-NL" w:eastAsia="en-US" w:bidi="ar-SA"/>
      </w:rPr>
    </w:lvl>
    <w:lvl w:ilvl="3">
      <w:start w:val="0"/>
      <w:numFmt w:val="bullet"/>
      <w:lvlText w:val=""/>
      <w:lvlJc w:val="left"/>
      <w:pPr>
        <w:tabs>
          <w:tab w:val="num" w:pos="0"/>
        </w:tabs>
        <w:ind w:left="4759" w:hanging="334"/>
      </w:pPr>
      <w:rPr>
        <w:rFonts w:ascii="Symbol" w:hAnsi="Symbol" w:cs="Symbol" w:hint="default"/>
        <w:lang w:val="nl-NL" w:eastAsia="en-US" w:bidi="ar-SA"/>
      </w:rPr>
    </w:lvl>
    <w:lvl w:ilvl="4">
      <w:start w:val="0"/>
      <w:numFmt w:val="bullet"/>
      <w:lvlText w:val=""/>
      <w:lvlJc w:val="left"/>
      <w:pPr>
        <w:tabs>
          <w:tab w:val="num" w:pos="0"/>
        </w:tabs>
        <w:ind w:left="5739" w:hanging="334"/>
      </w:pPr>
      <w:rPr>
        <w:rFonts w:ascii="Symbol" w:hAnsi="Symbol" w:cs="Symbol" w:hint="default"/>
        <w:lang w:val="nl-NL" w:eastAsia="en-US" w:bidi="ar-SA"/>
      </w:rPr>
    </w:lvl>
    <w:lvl w:ilvl="5">
      <w:start w:val="0"/>
      <w:numFmt w:val="bullet"/>
      <w:lvlText w:val=""/>
      <w:lvlJc w:val="left"/>
      <w:pPr>
        <w:tabs>
          <w:tab w:val="num" w:pos="0"/>
        </w:tabs>
        <w:ind w:left="6719" w:hanging="334"/>
      </w:pPr>
      <w:rPr>
        <w:rFonts w:ascii="Symbol" w:hAnsi="Symbol" w:cs="Symbol" w:hint="default"/>
        <w:lang w:val="nl-NL" w:eastAsia="en-US" w:bidi="ar-SA"/>
      </w:rPr>
    </w:lvl>
    <w:lvl w:ilvl="6">
      <w:start w:val="0"/>
      <w:numFmt w:val="bullet"/>
      <w:lvlText w:val=""/>
      <w:lvlJc w:val="left"/>
      <w:pPr>
        <w:tabs>
          <w:tab w:val="num" w:pos="0"/>
        </w:tabs>
        <w:ind w:left="7698" w:hanging="334"/>
      </w:pPr>
      <w:rPr>
        <w:rFonts w:ascii="Symbol" w:hAnsi="Symbol" w:cs="Symbol" w:hint="default"/>
        <w:lang w:val="nl-NL" w:eastAsia="en-US" w:bidi="ar-SA"/>
      </w:rPr>
    </w:lvl>
    <w:lvl w:ilvl="7">
      <w:start w:val="0"/>
      <w:numFmt w:val="bullet"/>
      <w:lvlText w:val=""/>
      <w:lvlJc w:val="left"/>
      <w:pPr>
        <w:tabs>
          <w:tab w:val="num" w:pos="0"/>
        </w:tabs>
        <w:ind w:left="8678" w:hanging="334"/>
      </w:pPr>
      <w:rPr>
        <w:rFonts w:ascii="Symbol" w:hAnsi="Symbol" w:cs="Symbol" w:hint="default"/>
        <w:lang w:val="nl-NL" w:eastAsia="en-US" w:bidi="ar-SA"/>
      </w:rPr>
    </w:lvl>
    <w:lvl w:ilvl="8">
      <w:start w:val="0"/>
      <w:numFmt w:val="bullet"/>
      <w:lvlText w:val=""/>
      <w:lvlJc w:val="left"/>
      <w:pPr>
        <w:tabs>
          <w:tab w:val="num" w:pos="0"/>
        </w:tabs>
        <w:ind w:left="9658" w:hanging="334"/>
      </w:pPr>
      <w:rPr>
        <w:rFonts w:ascii="Symbol" w:hAnsi="Symbol" w:cs="Symbol" w:hint="default"/>
        <w:lang w:val="nl-NL" w:eastAsia="en-US" w:bidi="ar-SA"/>
      </w:rPr>
    </w:lvl>
  </w:abstractNum>
  <w:abstractNum w:abstractNumId="6">
    <w:lvl w:ilvl="0">
      <w:start w:val="4"/>
      <w:numFmt w:val="decimal"/>
      <w:lvlText w:val="%1"/>
      <w:lvlJc w:val="left"/>
      <w:pPr>
        <w:tabs>
          <w:tab w:val="num" w:pos="0"/>
        </w:tabs>
        <w:ind w:left="1828" w:hanging="334"/>
      </w:pPr>
      <w:rPr>
        <w:lang w:val="nl-NL" w:eastAsia="en-US" w:bidi="ar-SA"/>
      </w:rPr>
    </w:lvl>
    <w:lvl w:ilvl="1">
      <w:start w:val="1"/>
      <w:numFmt w:val="decimal"/>
      <w:lvlText w:val="%1.%2"/>
      <w:lvlJc w:val="left"/>
      <w:pPr>
        <w:tabs>
          <w:tab w:val="num" w:pos="0"/>
        </w:tabs>
        <w:ind w:left="1828" w:hanging="334"/>
      </w:pPr>
      <w:rPr>
        <w:sz w:val="19"/>
        <w:spacing w:val="0"/>
        <w:i w:val="false"/>
        <w:b w:val="false"/>
        <w:szCs w:val="19"/>
        <w:iCs w:val="false"/>
        <w:bCs w:val="false"/>
        <w:w w:val="104"/>
        <w:rFonts w:ascii="Arial" w:hAnsi="Arial" w:eastAsia="Arial" w:cs="Arial"/>
        <w:lang w:val="nl-NL" w:eastAsia="en-US" w:bidi="ar-SA"/>
      </w:rPr>
    </w:lvl>
    <w:lvl w:ilvl="2">
      <w:start w:val="0"/>
      <w:numFmt w:val="bullet"/>
      <w:lvlText w:val=""/>
      <w:lvlJc w:val="left"/>
      <w:pPr>
        <w:tabs>
          <w:tab w:val="num" w:pos="0"/>
        </w:tabs>
        <w:ind w:left="3779" w:hanging="334"/>
      </w:pPr>
      <w:rPr>
        <w:rFonts w:ascii="Symbol" w:hAnsi="Symbol" w:cs="Symbol" w:hint="default"/>
        <w:lang w:val="nl-NL" w:eastAsia="en-US" w:bidi="ar-SA"/>
      </w:rPr>
    </w:lvl>
    <w:lvl w:ilvl="3">
      <w:start w:val="0"/>
      <w:numFmt w:val="bullet"/>
      <w:lvlText w:val=""/>
      <w:lvlJc w:val="left"/>
      <w:pPr>
        <w:tabs>
          <w:tab w:val="num" w:pos="0"/>
        </w:tabs>
        <w:ind w:left="4759" w:hanging="334"/>
      </w:pPr>
      <w:rPr>
        <w:rFonts w:ascii="Symbol" w:hAnsi="Symbol" w:cs="Symbol" w:hint="default"/>
        <w:lang w:val="nl-NL" w:eastAsia="en-US" w:bidi="ar-SA"/>
      </w:rPr>
    </w:lvl>
    <w:lvl w:ilvl="4">
      <w:start w:val="0"/>
      <w:numFmt w:val="bullet"/>
      <w:lvlText w:val=""/>
      <w:lvlJc w:val="left"/>
      <w:pPr>
        <w:tabs>
          <w:tab w:val="num" w:pos="0"/>
        </w:tabs>
        <w:ind w:left="5739" w:hanging="334"/>
      </w:pPr>
      <w:rPr>
        <w:rFonts w:ascii="Symbol" w:hAnsi="Symbol" w:cs="Symbol" w:hint="default"/>
        <w:lang w:val="nl-NL" w:eastAsia="en-US" w:bidi="ar-SA"/>
      </w:rPr>
    </w:lvl>
    <w:lvl w:ilvl="5">
      <w:start w:val="0"/>
      <w:numFmt w:val="bullet"/>
      <w:lvlText w:val=""/>
      <w:lvlJc w:val="left"/>
      <w:pPr>
        <w:tabs>
          <w:tab w:val="num" w:pos="0"/>
        </w:tabs>
        <w:ind w:left="6719" w:hanging="334"/>
      </w:pPr>
      <w:rPr>
        <w:rFonts w:ascii="Symbol" w:hAnsi="Symbol" w:cs="Symbol" w:hint="default"/>
        <w:lang w:val="nl-NL" w:eastAsia="en-US" w:bidi="ar-SA"/>
      </w:rPr>
    </w:lvl>
    <w:lvl w:ilvl="6">
      <w:start w:val="0"/>
      <w:numFmt w:val="bullet"/>
      <w:lvlText w:val=""/>
      <w:lvlJc w:val="left"/>
      <w:pPr>
        <w:tabs>
          <w:tab w:val="num" w:pos="0"/>
        </w:tabs>
        <w:ind w:left="7698" w:hanging="334"/>
      </w:pPr>
      <w:rPr>
        <w:rFonts w:ascii="Symbol" w:hAnsi="Symbol" w:cs="Symbol" w:hint="default"/>
        <w:lang w:val="nl-NL" w:eastAsia="en-US" w:bidi="ar-SA"/>
      </w:rPr>
    </w:lvl>
    <w:lvl w:ilvl="7">
      <w:start w:val="0"/>
      <w:numFmt w:val="bullet"/>
      <w:lvlText w:val=""/>
      <w:lvlJc w:val="left"/>
      <w:pPr>
        <w:tabs>
          <w:tab w:val="num" w:pos="0"/>
        </w:tabs>
        <w:ind w:left="8678" w:hanging="334"/>
      </w:pPr>
      <w:rPr>
        <w:rFonts w:ascii="Symbol" w:hAnsi="Symbol" w:cs="Symbol" w:hint="default"/>
        <w:lang w:val="nl-NL" w:eastAsia="en-US" w:bidi="ar-SA"/>
      </w:rPr>
    </w:lvl>
    <w:lvl w:ilvl="8">
      <w:start w:val="0"/>
      <w:numFmt w:val="bullet"/>
      <w:lvlText w:val=""/>
      <w:lvlJc w:val="left"/>
      <w:pPr>
        <w:tabs>
          <w:tab w:val="num" w:pos="0"/>
        </w:tabs>
        <w:ind w:left="9658" w:hanging="334"/>
      </w:pPr>
      <w:rPr>
        <w:rFonts w:ascii="Symbol" w:hAnsi="Symbol" w:cs="Symbol" w:hint="default"/>
        <w:lang w:val="nl-NL" w:eastAsia="en-US" w:bidi="ar-SA"/>
      </w:rPr>
    </w:lvl>
  </w:abstractNum>
  <w:abstractNum w:abstractNumId="7">
    <w:lvl w:ilvl="0">
      <w:start w:val="3"/>
      <w:numFmt w:val="decimal"/>
      <w:lvlText w:val="%1"/>
      <w:lvlJc w:val="left"/>
      <w:pPr>
        <w:tabs>
          <w:tab w:val="num" w:pos="0"/>
        </w:tabs>
        <w:ind w:left="1828" w:hanging="334"/>
      </w:pPr>
      <w:rPr>
        <w:lang w:val="nl-NL" w:eastAsia="en-US" w:bidi="ar-SA"/>
      </w:rPr>
    </w:lvl>
    <w:lvl w:ilvl="1">
      <w:start w:val="2"/>
      <w:numFmt w:val="decimal"/>
      <w:lvlText w:val="%1.%2"/>
      <w:lvlJc w:val="left"/>
      <w:pPr>
        <w:tabs>
          <w:tab w:val="num" w:pos="0"/>
        </w:tabs>
        <w:ind w:left="1828" w:hanging="334"/>
      </w:pPr>
      <w:rPr>
        <w:sz w:val="19"/>
        <w:spacing w:val="0"/>
        <w:i w:val="false"/>
        <w:b w:val="false"/>
        <w:szCs w:val="19"/>
        <w:iCs w:val="false"/>
        <w:bCs w:val="false"/>
        <w:w w:val="104"/>
        <w:rFonts w:ascii="Arial" w:hAnsi="Arial" w:eastAsia="Arial" w:cs="Arial"/>
        <w:lang w:val="nl-NL" w:eastAsia="en-US" w:bidi="ar-SA"/>
      </w:rPr>
    </w:lvl>
    <w:lvl w:ilvl="2">
      <w:start w:val="0"/>
      <w:numFmt w:val="bullet"/>
      <w:lvlText w:val=""/>
      <w:lvlJc w:val="left"/>
      <w:pPr>
        <w:tabs>
          <w:tab w:val="num" w:pos="0"/>
        </w:tabs>
        <w:ind w:left="3779" w:hanging="334"/>
      </w:pPr>
      <w:rPr>
        <w:rFonts w:ascii="Symbol" w:hAnsi="Symbol" w:cs="Symbol" w:hint="default"/>
        <w:lang w:val="nl-NL" w:eastAsia="en-US" w:bidi="ar-SA"/>
      </w:rPr>
    </w:lvl>
    <w:lvl w:ilvl="3">
      <w:start w:val="0"/>
      <w:numFmt w:val="bullet"/>
      <w:lvlText w:val=""/>
      <w:lvlJc w:val="left"/>
      <w:pPr>
        <w:tabs>
          <w:tab w:val="num" w:pos="0"/>
        </w:tabs>
        <w:ind w:left="4759" w:hanging="334"/>
      </w:pPr>
      <w:rPr>
        <w:rFonts w:ascii="Symbol" w:hAnsi="Symbol" w:cs="Symbol" w:hint="default"/>
        <w:lang w:val="nl-NL" w:eastAsia="en-US" w:bidi="ar-SA"/>
      </w:rPr>
    </w:lvl>
    <w:lvl w:ilvl="4">
      <w:start w:val="0"/>
      <w:numFmt w:val="bullet"/>
      <w:lvlText w:val=""/>
      <w:lvlJc w:val="left"/>
      <w:pPr>
        <w:tabs>
          <w:tab w:val="num" w:pos="0"/>
        </w:tabs>
        <w:ind w:left="5739" w:hanging="334"/>
      </w:pPr>
      <w:rPr>
        <w:rFonts w:ascii="Symbol" w:hAnsi="Symbol" w:cs="Symbol" w:hint="default"/>
        <w:lang w:val="nl-NL" w:eastAsia="en-US" w:bidi="ar-SA"/>
      </w:rPr>
    </w:lvl>
    <w:lvl w:ilvl="5">
      <w:start w:val="0"/>
      <w:numFmt w:val="bullet"/>
      <w:lvlText w:val=""/>
      <w:lvlJc w:val="left"/>
      <w:pPr>
        <w:tabs>
          <w:tab w:val="num" w:pos="0"/>
        </w:tabs>
        <w:ind w:left="6719" w:hanging="334"/>
      </w:pPr>
      <w:rPr>
        <w:rFonts w:ascii="Symbol" w:hAnsi="Symbol" w:cs="Symbol" w:hint="default"/>
        <w:lang w:val="nl-NL" w:eastAsia="en-US" w:bidi="ar-SA"/>
      </w:rPr>
    </w:lvl>
    <w:lvl w:ilvl="6">
      <w:start w:val="0"/>
      <w:numFmt w:val="bullet"/>
      <w:lvlText w:val=""/>
      <w:lvlJc w:val="left"/>
      <w:pPr>
        <w:tabs>
          <w:tab w:val="num" w:pos="0"/>
        </w:tabs>
        <w:ind w:left="7698" w:hanging="334"/>
      </w:pPr>
      <w:rPr>
        <w:rFonts w:ascii="Symbol" w:hAnsi="Symbol" w:cs="Symbol" w:hint="default"/>
        <w:lang w:val="nl-NL" w:eastAsia="en-US" w:bidi="ar-SA"/>
      </w:rPr>
    </w:lvl>
    <w:lvl w:ilvl="7">
      <w:start w:val="0"/>
      <w:numFmt w:val="bullet"/>
      <w:lvlText w:val=""/>
      <w:lvlJc w:val="left"/>
      <w:pPr>
        <w:tabs>
          <w:tab w:val="num" w:pos="0"/>
        </w:tabs>
        <w:ind w:left="8678" w:hanging="334"/>
      </w:pPr>
      <w:rPr>
        <w:rFonts w:ascii="Symbol" w:hAnsi="Symbol" w:cs="Symbol" w:hint="default"/>
        <w:lang w:val="nl-NL" w:eastAsia="en-US" w:bidi="ar-SA"/>
      </w:rPr>
    </w:lvl>
    <w:lvl w:ilvl="8">
      <w:start w:val="0"/>
      <w:numFmt w:val="bullet"/>
      <w:lvlText w:val=""/>
      <w:lvlJc w:val="left"/>
      <w:pPr>
        <w:tabs>
          <w:tab w:val="num" w:pos="0"/>
        </w:tabs>
        <w:ind w:left="9658" w:hanging="334"/>
      </w:pPr>
      <w:rPr>
        <w:rFonts w:ascii="Symbol" w:hAnsi="Symbol" w:cs="Symbol" w:hint="default"/>
        <w:lang w:val="nl-NL" w:eastAsia="en-US" w:bidi="ar-S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pPr>
      <w:widowControl w:val="false"/>
      <w:bidi w:val="0"/>
      <w:spacing w:before="0" w:after="0"/>
      <w:jc w:val="left"/>
    </w:pPr>
    <w:rPr>
      <w:rFonts w:ascii="Arial" w:hAnsi="Arial" w:eastAsia="Arial" w:cs="Arial"/>
      <w:color w:val="auto"/>
      <w:kern w:val="0"/>
      <w:sz w:val="22"/>
      <w:szCs w:val="22"/>
      <w:lang w:val="nl-NL" w:eastAsia="en-US" w:bidi="ar-SA"/>
    </w:rPr>
  </w:style>
  <w:style w:type="paragraph" w:styleId="Heading1">
    <w:name w:val="Heading 1"/>
    <w:basedOn w:val="Normal"/>
    <w:uiPriority w:val="1"/>
    <w:qFormat/>
    <w:pPr>
      <w:ind w:left="1274" w:hanging="0"/>
      <w:jc w:val="both"/>
      <w:outlineLvl w:val="0"/>
    </w:pPr>
    <w:rPr>
      <w:rFonts w:ascii="Arial Black" w:hAnsi="Arial Black" w:eastAsia="Arial Black" w:cs="Arial Black"/>
      <w:b/>
      <w:bCs/>
      <w:sz w:val="26"/>
      <w:szCs w:val="26"/>
    </w:rPr>
  </w:style>
  <w:style w:type="paragraph" w:styleId="Heading2">
    <w:name w:val="Heading 2"/>
    <w:basedOn w:val="Normal"/>
    <w:uiPriority w:val="1"/>
    <w:qFormat/>
    <w:pPr>
      <w:spacing w:before="173" w:after="0"/>
      <w:ind w:left="1609" w:hanging="335"/>
      <w:outlineLvl w:val="1"/>
    </w:pPr>
    <w:rPr>
      <w:rFonts w:ascii="Arial Black" w:hAnsi="Arial Black" w:eastAsia="Arial Black" w:cs="Arial Black"/>
      <w:b/>
      <w:bCs/>
      <w:sz w:val="19"/>
      <w:szCs w:val="19"/>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Carlito" w:hAnsi="Carlito" w:eastAsia="Noto Sans SC Regular" w:cs="Noto Sans Devanagari"/>
      <w:sz w:val="28"/>
      <w:szCs w:val="28"/>
    </w:rPr>
  </w:style>
  <w:style w:type="paragraph" w:styleId="BodyText">
    <w:name w:val="Body Text"/>
    <w:basedOn w:val="Normal"/>
    <w:uiPriority w:val="1"/>
    <w:qFormat/>
    <w:pPr/>
    <w:rPr>
      <w:sz w:val="19"/>
      <w:szCs w:val="19"/>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OC1">
    <w:name w:val="TOC 1"/>
    <w:basedOn w:val="Normal"/>
    <w:uiPriority w:val="1"/>
    <w:qFormat/>
    <w:pPr>
      <w:spacing w:before="195" w:after="0"/>
      <w:ind w:left="1274" w:hanging="0"/>
    </w:pPr>
    <w:rPr>
      <w:sz w:val="19"/>
      <w:szCs w:val="19"/>
    </w:rPr>
  </w:style>
  <w:style w:type="paragraph" w:styleId="TOC2">
    <w:name w:val="TOC 2"/>
    <w:basedOn w:val="Normal"/>
    <w:uiPriority w:val="1"/>
    <w:qFormat/>
    <w:pPr>
      <w:spacing w:before="194" w:after="0"/>
      <w:ind w:left="1826" w:hanging="332"/>
    </w:pPr>
    <w:rPr>
      <w:sz w:val="19"/>
      <w:szCs w:val="19"/>
    </w:rPr>
  </w:style>
  <w:style w:type="paragraph" w:styleId="Title">
    <w:name w:val="Title"/>
    <w:basedOn w:val="Normal"/>
    <w:uiPriority w:val="1"/>
    <w:qFormat/>
    <w:pPr>
      <w:ind w:left="1275" w:hanging="0"/>
    </w:pPr>
    <w:rPr>
      <w:rFonts w:ascii="Arial Black" w:hAnsi="Arial Black" w:eastAsia="Arial Black" w:cs="Arial Black"/>
      <w:b/>
      <w:bCs/>
      <w:sz w:val="72"/>
      <w:szCs w:val="72"/>
    </w:rPr>
  </w:style>
  <w:style w:type="paragraph" w:styleId="ListParagraph">
    <w:name w:val="List Paragraph"/>
    <w:basedOn w:val="Normal"/>
    <w:uiPriority w:val="1"/>
    <w:qFormat/>
    <w:pPr>
      <w:spacing w:before="194" w:after="0"/>
      <w:ind w:left="1609" w:hanging="335"/>
    </w:pPr>
    <w:rPr/>
  </w:style>
  <w:style w:type="paragraph" w:styleId="TableParagraph" w:customStyle="1">
    <w:name w:val="Table Paragraph"/>
    <w:basedOn w:val="Normal"/>
    <w:uiPriority w:val="1"/>
    <w:qFormat/>
    <w:pPr/>
    <w:rPr/>
  </w:style>
  <w:style w:type="paragraph" w:styleId="HeaderandFooter">
    <w:name w:val="Header and Footer"/>
    <w:basedOn w:val="Normal"/>
    <w:qFormat/>
    <w:pPr/>
    <w:rPr/>
  </w:style>
  <w:style w:type="paragraph" w:styleId="Header">
    <w:name w:val="Header"/>
    <w:basedOn w:val="HeaderandFooter"/>
    <w:pPr/>
    <w:rPr/>
  </w:style>
  <w:style w:type="paragraph" w:styleId="FrameContents">
    <w:name w:val="Frame Contents"/>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mailto:lsvb@lsvb.nl" TargetMode="External"/><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header" Target="header7.xml"/><Relationship Id="rId21" Type="http://schemas.openxmlformats.org/officeDocument/2006/relationships/header" Target="header8.xml"/><Relationship Id="rId22" Type="http://schemas.openxmlformats.org/officeDocument/2006/relationships/header" Target="header9.xml"/><Relationship Id="rId23" Type="http://schemas.openxmlformats.org/officeDocument/2006/relationships/footer" Target="footer7.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header" Target="header10.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header" Target="header13.xml"/><Relationship Id="rId33" Type="http://schemas.openxmlformats.org/officeDocument/2006/relationships/header" Target="header14.xml"/><Relationship Id="rId34" Type="http://schemas.openxmlformats.org/officeDocument/2006/relationships/header" Target="header15.xml"/><Relationship Id="rId35" Type="http://schemas.openxmlformats.org/officeDocument/2006/relationships/footer" Target="footer13.xml"/><Relationship Id="rId36" Type="http://schemas.openxmlformats.org/officeDocument/2006/relationships/footer" Target="footer14.xml"/><Relationship Id="rId37" Type="http://schemas.openxmlformats.org/officeDocument/2006/relationships/footer" Target="footer15.xml"/><Relationship Id="rId38" Type="http://schemas.openxmlformats.org/officeDocument/2006/relationships/header" Target="header16.xml"/><Relationship Id="rId39" Type="http://schemas.openxmlformats.org/officeDocument/2006/relationships/header" Target="header17.xml"/><Relationship Id="rId40" Type="http://schemas.openxmlformats.org/officeDocument/2006/relationships/header" Target="header18.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header" Target="header19.xml"/><Relationship Id="rId45" Type="http://schemas.openxmlformats.org/officeDocument/2006/relationships/header" Target="header20.xml"/><Relationship Id="rId46" Type="http://schemas.openxmlformats.org/officeDocument/2006/relationships/header" Target="header21.xml"/><Relationship Id="rId47" Type="http://schemas.openxmlformats.org/officeDocument/2006/relationships/footer" Target="footer19.xml"/><Relationship Id="rId48" Type="http://schemas.openxmlformats.org/officeDocument/2006/relationships/footer" Target="footer20.xml"/><Relationship Id="rId49" Type="http://schemas.openxmlformats.org/officeDocument/2006/relationships/footer" Target="footer21.xml"/><Relationship Id="rId50" Type="http://schemas.openxmlformats.org/officeDocument/2006/relationships/header" Target="header22.xml"/><Relationship Id="rId51" Type="http://schemas.openxmlformats.org/officeDocument/2006/relationships/header" Target="header23.xml"/><Relationship Id="rId52" Type="http://schemas.openxmlformats.org/officeDocument/2006/relationships/header" Target="header24.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header" Target="header25.xml"/><Relationship Id="rId57" Type="http://schemas.openxmlformats.org/officeDocument/2006/relationships/header" Target="header26.xml"/><Relationship Id="rId58" Type="http://schemas.openxmlformats.org/officeDocument/2006/relationships/header" Target="header27.xml"/><Relationship Id="rId59" Type="http://schemas.openxmlformats.org/officeDocument/2006/relationships/footer" Target="footer25.xml"/><Relationship Id="rId60" Type="http://schemas.openxmlformats.org/officeDocument/2006/relationships/footer" Target="footer26.xml"/><Relationship Id="rId61" Type="http://schemas.openxmlformats.org/officeDocument/2006/relationships/footer" Target="footer27.xml"/><Relationship Id="rId62" Type="http://schemas.openxmlformats.org/officeDocument/2006/relationships/header" Target="header28.xml"/><Relationship Id="rId63" Type="http://schemas.openxmlformats.org/officeDocument/2006/relationships/header" Target="header29.xml"/><Relationship Id="rId64" Type="http://schemas.openxmlformats.org/officeDocument/2006/relationships/header" Target="header30.xml"/><Relationship Id="rId65" Type="http://schemas.openxmlformats.org/officeDocument/2006/relationships/footer" Target="footer28.xml"/><Relationship Id="rId66" Type="http://schemas.openxmlformats.org/officeDocument/2006/relationships/footer" Target="footer29.xml"/><Relationship Id="rId67" Type="http://schemas.openxmlformats.org/officeDocument/2006/relationships/footer" Target="footer30.xml"/><Relationship Id="rId68" Type="http://schemas.openxmlformats.org/officeDocument/2006/relationships/header" Target="header31.xml"/><Relationship Id="rId69" Type="http://schemas.openxmlformats.org/officeDocument/2006/relationships/header" Target="header32.xml"/><Relationship Id="rId70" Type="http://schemas.openxmlformats.org/officeDocument/2006/relationships/header" Target="header33.xml"/><Relationship Id="rId71" Type="http://schemas.openxmlformats.org/officeDocument/2006/relationships/footer" Target="footer31.xml"/><Relationship Id="rId72" Type="http://schemas.openxmlformats.org/officeDocument/2006/relationships/footer" Target="footer32.xml"/><Relationship Id="rId73" Type="http://schemas.openxmlformats.org/officeDocument/2006/relationships/footer" Target="footer33.xml"/><Relationship Id="rId74" Type="http://schemas.openxmlformats.org/officeDocument/2006/relationships/header" Target="header34.xml"/><Relationship Id="rId75" Type="http://schemas.openxmlformats.org/officeDocument/2006/relationships/header" Target="header35.xml"/><Relationship Id="rId76" Type="http://schemas.openxmlformats.org/officeDocument/2006/relationships/header" Target="header36.xml"/><Relationship Id="rId77" Type="http://schemas.openxmlformats.org/officeDocument/2006/relationships/footer" Target="footer34.xml"/><Relationship Id="rId78" Type="http://schemas.openxmlformats.org/officeDocument/2006/relationships/footer" Target="footer35.xml"/><Relationship Id="rId79" Type="http://schemas.openxmlformats.org/officeDocument/2006/relationships/footer" Target="footer36.xml"/><Relationship Id="rId80" Type="http://schemas.openxmlformats.org/officeDocument/2006/relationships/header" Target="header37.xml"/><Relationship Id="rId81" Type="http://schemas.openxmlformats.org/officeDocument/2006/relationships/header" Target="header38.xml"/><Relationship Id="rId82" Type="http://schemas.openxmlformats.org/officeDocument/2006/relationships/header" Target="header39.xml"/><Relationship Id="rId83" Type="http://schemas.openxmlformats.org/officeDocument/2006/relationships/footer" Target="footer37.xml"/><Relationship Id="rId84" Type="http://schemas.openxmlformats.org/officeDocument/2006/relationships/footer" Target="footer38.xml"/><Relationship Id="rId85" Type="http://schemas.openxmlformats.org/officeDocument/2006/relationships/footer" Target="footer39.xml"/><Relationship Id="rId86" Type="http://schemas.openxmlformats.org/officeDocument/2006/relationships/image" Target="media/image5.png"/><Relationship Id="rId87" Type="http://schemas.openxmlformats.org/officeDocument/2006/relationships/image" Target="media/image6.png"/><Relationship Id="rId88" Type="http://schemas.openxmlformats.org/officeDocument/2006/relationships/image" Target="media/image5.png"/><Relationship Id="rId89" Type="http://schemas.openxmlformats.org/officeDocument/2006/relationships/image" Target="media/image6.png"/><Relationship Id="rId90" Type="http://schemas.openxmlformats.org/officeDocument/2006/relationships/hyperlink" Target="mailto:Lsvb@lsvb.nl" TargetMode="Externa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oter4.xml.rels><?xml version="1.0" encoding="UTF-8"?>
<Relationships xmlns="http://schemas.openxmlformats.org/package/2006/relationships"><Relationship Id="rId1" Type="http://schemas.openxmlformats.org/officeDocument/2006/relationships/image" Target="media/image5.png"/>
</Relationships>
</file>

<file path=word/_rels/footer5.xml.rels><?xml version="1.0" encoding="UTF-8"?>
<Relationships xmlns="http://schemas.openxmlformats.org/package/2006/relationships"><Relationship Id="rId1" Type="http://schemas.openxmlformats.org/officeDocument/2006/relationships/image" Target="media/image5.png"/>
</Relationships>
</file>

<file path=word/_rels/footer6.xml.rels><?xml version="1.0" encoding="UTF-8"?>
<Relationships xmlns="http://schemas.openxmlformats.org/package/2006/relationships"><Relationship Id="rId1" Type="http://schemas.openxmlformats.org/officeDocument/2006/relationships/image" Target="media/image5.png"/>
</Relationships>
</file>

<file path=word/_rels/footer8.xml.rels><?xml version="1.0" encoding="UTF-8"?>
<Relationships xmlns="http://schemas.openxmlformats.org/package/2006/relationships"><Relationship Id="rId1" Type="http://schemas.openxmlformats.org/officeDocument/2006/relationships/image" Target="media/image5.png"/>
</Relationships>
</file>

<file path=word/_rels/footer9.xml.rels><?xml version="1.0" encoding="UTF-8"?>
<Relationships xmlns="http://schemas.openxmlformats.org/package/2006/relationships"><Relationship Id="rId1" Type="http://schemas.openxmlformats.org/officeDocument/2006/relationships/image" Target="media/image5.png"/>
</Relationships>
</file>

<file path=word/_rels/footer11.xml.rels><?xml version="1.0" encoding="UTF-8"?>
<Relationships xmlns="http://schemas.openxmlformats.org/package/2006/relationships"><Relationship Id="rId1" Type="http://schemas.openxmlformats.org/officeDocument/2006/relationships/image" Target="media/image5.png"/>
</Relationships>
</file>

<file path=word/_rels/footer12.xml.rels><?xml version="1.0" encoding="UTF-8"?>
<Relationships xmlns="http://schemas.openxmlformats.org/package/2006/relationships"><Relationship Id="rId1" Type="http://schemas.openxmlformats.org/officeDocument/2006/relationships/image" Target="media/image5.png"/>
</Relationships>
</file>

<file path=word/_rels/footer14.xml.rels><?xml version="1.0" encoding="UTF-8"?>
<Relationships xmlns="http://schemas.openxmlformats.org/package/2006/relationships"><Relationship Id="rId1" Type="http://schemas.openxmlformats.org/officeDocument/2006/relationships/image" Target="media/image5.png"/>
</Relationships>
</file>

<file path=word/_rels/footer15.xml.rels><?xml version="1.0" encoding="UTF-8"?>
<Relationships xmlns="http://schemas.openxmlformats.org/package/2006/relationships"><Relationship Id="rId1" Type="http://schemas.openxmlformats.org/officeDocument/2006/relationships/image" Target="media/image5.png"/>
</Relationships>
</file>

<file path=word/_rels/footer17.xml.rels><?xml version="1.0" encoding="UTF-8"?>
<Relationships xmlns="http://schemas.openxmlformats.org/package/2006/relationships"><Relationship Id="rId1" Type="http://schemas.openxmlformats.org/officeDocument/2006/relationships/image" Target="media/image5.png"/>
</Relationships>
</file>

<file path=word/_rels/footer18.xml.rels><?xml version="1.0" encoding="UTF-8"?>
<Relationships xmlns="http://schemas.openxmlformats.org/package/2006/relationships"><Relationship Id="rId1" Type="http://schemas.openxmlformats.org/officeDocument/2006/relationships/image" Target="media/image5.png"/>
</Relationships>
</file>

<file path=word/_rels/footer20.xml.rels><?xml version="1.0" encoding="UTF-8"?>
<Relationships xmlns="http://schemas.openxmlformats.org/package/2006/relationships"><Relationship Id="rId1" Type="http://schemas.openxmlformats.org/officeDocument/2006/relationships/image" Target="media/image5.png"/>
</Relationships>
</file>

<file path=word/_rels/footer21.xml.rels><?xml version="1.0" encoding="UTF-8"?>
<Relationships xmlns="http://schemas.openxmlformats.org/package/2006/relationships"><Relationship Id="rId1" Type="http://schemas.openxmlformats.org/officeDocument/2006/relationships/image" Target="media/image5.png"/>
</Relationships>
</file>

<file path=word/_rels/footer23.xml.rels><?xml version="1.0" encoding="UTF-8"?>
<Relationships xmlns="http://schemas.openxmlformats.org/package/2006/relationships"><Relationship Id="rId1" Type="http://schemas.openxmlformats.org/officeDocument/2006/relationships/image" Target="media/image5.png"/>
</Relationships>
</file>

<file path=word/_rels/footer24.xml.rels><?xml version="1.0" encoding="UTF-8"?>
<Relationships xmlns="http://schemas.openxmlformats.org/package/2006/relationships"><Relationship Id="rId1" Type="http://schemas.openxmlformats.org/officeDocument/2006/relationships/image" Target="media/image5.png"/>
</Relationships>
</file>

<file path=word/_rels/footer26.xml.rels><?xml version="1.0" encoding="UTF-8"?>
<Relationships xmlns="http://schemas.openxmlformats.org/package/2006/relationships"><Relationship Id="rId1" Type="http://schemas.openxmlformats.org/officeDocument/2006/relationships/image" Target="media/image5.png"/>
</Relationships>
</file>

<file path=word/_rels/footer27.xml.rels><?xml version="1.0" encoding="UTF-8"?>
<Relationships xmlns="http://schemas.openxmlformats.org/package/2006/relationships"><Relationship Id="rId1" Type="http://schemas.openxmlformats.org/officeDocument/2006/relationships/image" Target="media/image5.png"/>
</Relationships>
</file>

<file path=word/_rels/footer29.xml.rels><?xml version="1.0" encoding="UTF-8"?>
<Relationships xmlns="http://schemas.openxmlformats.org/package/2006/relationships"><Relationship Id="rId1" Type="http://schemas.openxmlformats.org/officeDocument/2006/relationships/image" Target="media/image5.png"/>
</Relationships>
</file>

<file path=word/_rels/footer30.xml.rels><?xml version="1.0" encoding="UTF-8"?>
<Relationships xmlns="http://schemas.openxmlformats.org/package/2006/relationships"><Relationship Id="rId1" Type="http://schemas.openxmlformats.org/officeDocument/2006/relationships/image" Target="media/image5.png"/>
</Relationships>
</file>

<file path=word/_rels/footer32.xml.rels><?xml version="1.0" encoding="UTF-8"?>
<Relationships xmlns="http://schemas.openxmlformats.org/package/2006/relationships"><Relationship Id="rId1" Type="http://schemas.openxmlformats.org/officeDocument/2006/relationships/image" Target="media/image5.png"/>
</Relationships>
</file>

<file path=word/_rels/footer33.xml.rels><?xml version="1.0" encoding="UTF-8"?>
<Relationships xmlns="http://schemas.openxmlformats.org/package/2006/relationships"><Relationship Id="rId1" Type="http://schemas.openxmlformats.org/officeDocument/2006/relationships/image" Target="media/image5.png"/>
</Relationships>
</file>

<file path=word/_rels/footer35.xml.rels><?xml version="1.0" encoding="UTF-8"?>
<Relationships xmlns="http://schemas.openxmlformats.org/package/2006/relationships"><Relationship Id="rId1" Type="http://schemas.openxmlformats.org/officeDocument/2006/relationships/image" Target="media/image5.png"/>
</Relationships>
</file>

<file path=word/_rels/footer36.xml.rels><?xml version="1.0" encoding="UTF-8"?>
<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219</TotalTime>
  <Application>Collabora_Office/23.05.19.1$Linux_X86_64 LibreOffice_project/54637a87be7f1aacde847277b90d4951f5c4b138</Application>
  <AppVersion>15.0000</AppVersion>
  <Pages>15</Pages>
  <Words>4250</Words>
  <Characters>22228</Characters>
  <CharactersWithSpaces>26340</CharactersWithSpaces>
  <Paragraphs>156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2026-02-12T10:15:00Z</dcterms:created>
  <dc:creator/>
  <dc:description/>
  <cp:keywords> docId 1AB7E85B527826D5E06F7F19185A2A1A</cp:keywords>
  <dc:language>en-US</dc:language>
  <cp:lastModifiedBy/>
  <dcterms:modified xsi:type="dcterms:W3CDTF">2026-02-16T16:57:34Z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