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20C" w:rsidRDefault="007C20D9">
      <w:pPr>
        <w:ind w:left="99"/>
        <w:rPr>
          <w:rFonts w:ascii="Times New Roman"/>
          <w:sz w:val="20"/>
        </w:rPr>
      </w:pPr>
      <w:r>
        <w:rPr>
          <w:rFonts w:ascii="Times New Roman"/>
          <w:noProof/>
          <w:sz w:val="20"/>
        </w:rPr>
        <w:drawing>
          <wp:inline distT="0" distB="0" distL="0" distR="0">
            <wp:extent cx="4132928" cy="2468499"/>
            <wp:effectExtent l="0" t="0" r="0" b="0"/>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4132928" cy="2468499"/>
                    </a:xfrm>
                    <a:prstGeom prst="rect">
                      <a:avLst/>
                    </a:prstGeom>
                  </pic:spPr>
                </pic:pic>
              </a:graphicData>
            </a:graphic>
          </wp:inline>
        </w:drawing>
      </w:r>
    </w:p>
    <w:p w:rsidR="0061520C" w:rsidRDefault="0061520C">
      <w:pPr>
        <w:pStyle w:val="Plattetekst"/>
        <w:rPr>
          <w:rFonts w:ascii="Times New Roman"/>
          <w:sz w:val="72"/>
        </w:rPr>
      </w:pPr>
    </w:p>
    <w:p w:rsidR="0061520C" w:rsidRDefault="0061520C">
      <w:pPr>
        <w:pStyle w:val="Plattetekst"/>
        <w:spacing w:before="659"/>
        <w:rPr>
          <w:rFonts w:ascii="Times New Roman"/>
          <w:sz w:val="72"/>
        </w:rPr>
      </w:pPr>
    </w:p>
    <w:p w:rsidR="0061520C" w:rsidRPr="007C20D9" w:rsidRDefault="007C20D9">
      <w:pPr>
        <w:pStyle w:val="Kop1"/>
        <w:spacing w:line="336" w:lineRule="auto"/>
        <w:rPr>
          <w:lang w:val="en-GB"/>
        </w:rPr>
      </w:pPr>
      <w:r w:rsidRPr="007C20D9">
        <w:rPr>
          <w:color w:val="C52B2F"/>
          <w:sz w:val="75"/>
          <w:lang w:val="en-GB"/>
        </w:rPr>
        <w:t>Vision on the funding of higher education</w:t>
      </w: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7C20D9">
      <w:pPr>
        <w:pStyle w:val="Plattetekst"/>
        <w:spacing w:before="122"/>
        <w:rPr>
          <w:b/>
          <w:lang w:val="en-GB"/>
        </w:rPr>
      </w:pPr>
      <w:r>
        <w:rPr>
          <w:b/>
          <w:noProof/>
        </w:rPr>
        <w:drawing>
          <wp:anchor distT="0" distB="0" distL="0" distR="0" simplePos="0" relativeHeight="251660288" behindDoc="1" locked="0" layoutInCell="1" allowOverlap="1">
            <wp:simplePos x="0" y="0"/>
            <wp:positionH relativeFrom="page">
              <wp:posOffset>897891</wp:posOffset>
            </wp:positionH>
            <wp:positionV relativeFrom="paragraph">
              <wp:posOffset>238780</wp:posOffset>
            </wp:positionV>
            <wp:extent cx="1978554" cy="1097661"/>
            <wp:effectExtent l="0" t="0" r="0" b="0"/>
            <wp:wrapTopAndBottom/>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1978554" cy="1097661"/>
                    </a:xfrm>
                    <a:prstGeom prst="rect">
                      <a:avLst/>
                    </a:prstGeom>
                  </pic:spPr>
                </pic:pic>
              </a:graphicData>
            </a:graphic>
          </wp:anchor>
        </w:drawing>
      </w:r>
    </w:p>
    <w:p w:rsidR="0061520C" w:rsidRPr="007C20D9" w:rsidRDefault="0061520C">
      <w:pPr>
        <w:pStyle w:val="Plattetekst"/>
        <w:rPr>
          <w:b/>
          <w:lang w:val="en-GB"/>
        </w:rPr>
      </w:pPr>
    </w:p>
    <w:p w:rsidR="0061520C" w:rsidRPr="007C20D9" w:rsidRDefault="007C20D9">
      <w:pPr>
        <w:pStyle w:val="Plattetekst"/>
        <w:spacing w:before="149"/>
        <w:rPr>
          <w:b/>
          <w:lang w:val="en-GB"/>
        </w:rPr>
      </w:pPr>
      <w:r>
        <w:rPr>
          <w:b/>
          <w:noProof/>
        </w:rPr>
        <w:drawing>
          <wp:anchor distT="0" distB="0" distL="0" distR="0" simplePos="0" relativeHeight="251661312" behindDoc="1" locked="0" layoutInCell="1" allowOverlap="1">
            <wp:simplePos x="0" y="0"/>
            <wp:positionH relativeFrom="page">
              <wp:posOffset>3445511</wp:posOffset>
            </wp:positionH>
            <wp:positionV relativeFrom="paragraph">
              <wp:posOffset>256172</wp:posOffset>
            </wp:positionV>
            <wp:extent cx="3919014" cy="2361723"/>
            <wp:effectExtent l="0" t="0" r="0" b="0"/>
            <wp:wrapTopAndBottom/>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6" cstate="print"/>
                    <a:stretch>
                      <a:fillRect/>
                    </a:stretch>
                  </pic:blipFill>
                  <pic:spPr>
                    <a:xfrm>
                      <a:off x="0" y="0"/>
                      <a:ext cx="3919014" cy="2361723"/>
                    </a:xfrm>
                    <a:prstGeom prst="rect">
                      <a:avLst/>
                    </a:prstGeom>
                  </pic:spPr>
                </pic:pic>
              </a:graphicData>
            </a:graphic>
          </wp:anchor>
        </w:drawing>
      </w:r>
    </w:p>
    <w:p w:rsidR="0061520C" w:rsidRPr="007C20D9" w:rsidRDefault="0061520C">
      <w:pPr>
        <w:pStyle w:val="Plattetekst"/>
        <w:rPr>
          <w:b/>
          <w:lang w:val="en-GB"/>
        </w:rPr>
        <w:sectPr w:rsidR="0061520C" w:rsidRPr="007C20D9">
          <w:type w:val="continuous"/>
          <w:pgSz w:w="11900" w:h="16840"/>
          <w:pgMar w:top="240" w:right="141" w:bottom="0" w:left="141" w:header="708" w:footer="708" w:gutter="0"/>
          <w:cols w:space="708"/>
        </w:sectPr>
      </w:pPr>
    </w:p>
    <w:p w:rsidR="0061520C" w:rsidRPr="007C20D9" w:rsidRDefault="007C20D9">
      <w:pPr>
        <w:pStyle w:val="Plattetekst"/>
        <w:rPr>
          <w:b/>
          <w:lang w:val="en-GB"/>
        </w:rPr>
      </w:pPr>
      <w:r>
        <w:rPr>
          <w:b/>
          <w:noProof/>
        </w:rPr>
        <w:lastRenderedPageBreak/>
        <w:drawing>
          <wp:anchor distT="0" distB="0" distL="0" distR="0" simplePos="0" relativeHeight="251658240" behindDoc="1" locked="0" layoutInCell="1" allowOverlap="1">
            <wp:simplePos x="0" y="0"/>
            <wp:positionH relativeFrom="page">
              <wp:posOffset>152400</wp:posOffset>
            </wp:positionH>
            <wp:positionV relativeFrom="page">
              <wp:posOffset>152399</wp:posOffset>
            </wp:positionV>
            <wp:extent cx="7251700" cy="10388600"/>
            <wp:effectExtent l="0" t="0" r="0" b="0"/>
            <wp:wrapNone/>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7251700" cy="10388600"/>
                    </a:xfrm>
                    <a:prstGeom prst="rect">
                      <a:avLst/>
                    </a:prstGeom>
                  </pic:spPr>
                </pic:pic>
              </a:graphicData>
            </a:graphic>
          </wp:anchor>
        </w:drawing>
      </w: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rPr>
          <w:b/>
          <w:lang w:val="en-GB"/>
        </w:rPr>
      </w:pPr>
    </w:p>
    <w:p w:rsidR="0061520C" w:rsidRPr="007C20D9" w:rsidRDefault="0061520C">
      <w:pPr>
        <w:pStyle w:val="Plattetekst"/>
        <w:spacing w:before="27"/>
        <w:rPr>
          <w:b/>
          <w:lang w:val="en-GB"/>
        </w:rPr>
      </w:pPr>
    </w:p>
    <w:p w:rsidR="0061520C" w:rsidRPr="007C20D9" w:rsidRDefault="007C20D9">
      <w:pPr>
        <w:pStyle w:val="Plattetekst"/>
        <w:spacing w:line="336" w:lineRule="auto"/>
        <w:ind w:left="1275" w:right="1555"/>
        <w:rPr>
          <w:lang w:val="en-GB"/>
        </w:rPr>
      </w:pPr>
      <w:r w:rsidRPr="007C20D9">
        <w:rPr>
          <w:color w:val="FFFFFF"/>
          <w:lang w:val="en-GB"/>
        </w:rPr>
        <w:t xml:space="preserve">This is a publication of the National Student Union (LSVb). For questions or additional information, please send an email to: </w:t>
      </w:r>
      <w:hyperlink r:id="rId8">
        <w:r w:rsidRPr="007C20D9">
          <w:rPr>
            <w:color w:val="FFFFFF"/>
            <w:lang w:val="en-GB"/>
          </w:rPr>
          <w:t>lsvb@lsvb.nl</w:t>
        </w:r>
      </w:hyperlink>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spacing w:before="47"/>
        <w:rPr>
          <w:lang w:val="en-GB"/>
        </w:rPr>
      </w:pPr>
    </w:p>
    <w:p w:rsidR="0061520C" w:rsidRPr="007C20D9" w:rsidRDefault="007C20D9">
      <w:pPr>
        <w:pStyle w:val="Plattetekst"/>
        <w:spacing w:line="336" w:lineRule="auto"/>
        <w:ind w:left="1275" w:right="7712"/>
        <w:rPr>
          <w:lang w:val="en-GB"/>
        </w:rPr>
      </w:pPr>
      <w:r w:rsidRPr="007C20D9">
        <w:rPr>
          <w:color w:val="FFFFFF"/>
          <w:lang w:val="en-GB"/>
        </w:rPr>
        <w:t>National Student Union PO Box 1335</w:t>
      </w:r>
    </w:p>
    <w:p w:rsidR="0061520C" w:rsidRPr="007C20D9" w:rsidRDefault="007C20D9">
      <w:pPr>
        <w:pStyle w:val="Plattetekst"/>
        <w:spacing w:line="229" w:lineRule="exact"/>
        <w:ind w:left="1275"/>
        <w:rPr>
          <w:lang w:val="en-GB"/>
        </w:rPr>
      </w:pPr>
      <w:r w:rsidRPr="007C20D9">
        <w:rPr>
          <w:color w:val="FFFFFF"/>
          <w:lang w:val="en-GB"/>
        </w:rPr>
        <w:t xml:space="preserve">3500 BH </w:t>
      </w:r>
      <w:r w:rsidRPr="007C20D9">
        <w:rPr>
          <w:color w:val="FFFFFF"/>
          <w:spacing w:val="-2"/>
          <w:lang w:val="en-GB"/>
        </w:rPr>
        <w:t>Utrecht</w:t>
      </w:r>
    </w:p>
    <w:p w:rsidR="0061520C" w:rsidRPr="007C20D9" w:rsidRDefault="007C20D9">
      <w:pPr>
        <w:pStyle w:val="Plattetekst"/>
        <w:spacing w:before="92"/>
        <w:ind w:left="1275"/>
        <w:rPr>
          <w:lang w:val="en-GB"/>
        </w:rPr>
      </w:pPr>
      <w:r w:rsidRPr="007C20D9">
        <w:rPr>
          <w:color w:val="FFFFFF"/>
          <w:lang w:val="en-GB"/>
        </w:rPr>
        <w:t>Tel.</w:t>
      </w:r>
      <w:r w:rsidRPr="007C20D9">
        <w:rPr>
          <w:color w:val="FFFFFF"/>
          <w:spacing w:val="-2"/>
          <w:lang w:val="en-GB"/>
        </w:rPr>
        <w:t xml:space="preserve"> 030-2316464</w:t>
      </w:r>
    </w:p>
    <w:p w:rsidR="0061520C" w:rsidRPr="007C20D9" w:rsidRDefault="0061520C">
      <w:pPr>
        <w:pStyle w:val="Plattetekst"/>
        <w:spacing w:before="183"/>
        <w:rPr>
          <w:lang w:val="en-GB"/>
        </w:rPr>
      </w:pPr>
    </w:p>
    <w:p w:rsidR="0061520C" w:rsidRPr="007C20D9" w:rsidRDefault="007C20D9">
      <w:pPr>
        <w:pStyle w:val="Plattetekst"/>
        <w:ind w:left="1275"/>
        <w:rPr>
          <w:lang w:val="en-GB"/>
        </w:rPr>
      </w:pPr>
      <w:r w:rsidRPr="007C20D9">
        <w:rPr>
          <w:color w:val="FFFFFF"/>
          <w:lang w:val="en-GB"/>
        </w:rPr>
        <w:t>23 June</w:t>
      </w:r>
      <w:r w:rsidRPr="007C20D9">
        <w:rPr>
          <w:color w:val="FFFFFF"/>
          <w:spacing w:val="-4"/>
          <w:lang w:val="en-GB"/>
        </w:rPr>
        <w:t xml:space="preserve"> 2018</w:t>
      </w:r>
    </w:p>
    <w:p w:rsidR="0061520C" w:rsidRPr="007C20D9" w:rsidRDefault="0061520C">
      <w:pPr>
        <w:pStyle w:val="Plattetekst"/>
        <w:rPr>
          <w:lang w:val="en-GB"/>
        </w:rPr>
        <w:sectPr w:rsidR="0061520C" w:rsidRPr="007C20D9">
          <w:pgSz w:w="11900" w:h="16840"/>
          <w:pgMar w:top="1940" w:right="141" w:bottom="280" w:left="141" w:header="708" w:footer="708" w:gutter="0"/>
          <w:cols w:space="708"/>
        </w:sectPr>
      </w:pPr>
    </w:p>
    <w:p w:rsidR="0061520C" w:rsidRPr="007C20D9" w:rsidRDefault="007C20D9">
      <w:pPr>
        <w:pStyle w:val="Kop2"/>
        <w:spacing w:before="77"/>
        <w:rPr>
          <w:lang w:val="en-GB"/>
        </w:rPr>
      </w:pPr>
      <w:r w:rsidRPr="007C20D9">
        <w:rPr>
          <w:color w:val="C52B2F"/>
          <w:spacing w:val="-2"/>
          <w:sz w:val="27"/>
          <w:lang w:val="en-GB"/>
        </w:rPr>
        <w:lastRenderedPageBreak/>
        <w:t>Introduction</w:t>
      </w:r>
    </w:p>
    <w:p w:rsidR="0061520C" w:rsidRPr="007C20D9" w:rsidRDefault="007C20D9">
      <w:pPr>
        <w:pStyle w:val="Plattetekst"/>
        <w:spacing w:before="117" w:line="336" w:lineRule="auto"/>
        <w:ind w:left="1275" w:right="1555"/>
        <w:rPr>
          <w:lang w:val="en-GB"/>
        </w:rPr>
      </w:pPr>
      <w:r w:rsidRPr="007C20D9">
        <w:rPr>
          <w:lang w:val="en-GB"/>
        </w:rPr>
        <w:t>A number of important issues that the LSVb has been campaigning against in recent years originate in the way higher education is funded. These include, for example, the so-called 'return on investment' mentality, which focuses on getting as many students a</w:t>
      </w:r>
      <w:r w:rsidRPr="007C20D9">
        <w:rPr>
          <w:lang w:val="en-GB"/>
        </w:rPr>
        <w:t xml:space="preserve">s possible to graduate as quickly as possible, but also the competition for (international) students, in which colleges and universities have to compete with each other to attract as many students as possible. More specifically, it concerns issues such as </w:t>
      </w:r>
      <w:r w:rsidRPr="007C20D9">
        <w:rPr>
          <w:lang w:val="en-GB"/>
        </w:rPr>
        <w:t>binding study advice, overcrowded lecture halls and the disappearance of small study programmes.</w:t>
      </w:r>
    </w:p>
    <w:p w:rsidR="0061520C" w:rsidRPr="007C20D9" w:rsidRDefault="0061520C">
      <w:pPr>
        <w:pStyle w:val="Plattetekst"/>
        <w:spacing w:before="94"/>
        <w:rPr>
          <w:lang w:val="en-GB"/>
        </w:rPr>
      </w:pPr>
    </w:p>
    <w:p w:rsidR="0061520C" w:rsidRPr="007C20D9" w:rsidRDefault="007C20D9">
      <w:pPr>
        <w:pStyle w:val="Plattetekst"/>
        <w:spacing w:line="336" w:lineRule="auto"/>
        <w:ind w:left="1275" w:right="1555"/>
        <w:rPr>
          <w:lang w:val="en-GB"/>
        </w:rPr>
      </w:pPr>
      <w:r w:rsidRPr="007C20D9">
        <w:rPr>
          <w:lang w:val="en-GB"/>
        </w:rPr>
        <w:t xml:space="preserve">By drawing up the vision and the process to achieve it, we want to form an opinion on how funding can be better structured and how perverse incentives can be </w:t>
      </w:r>
      <w:r w:rsidRPr="007C20D9">
        <w:rPr>
          <w:lang w:val="en-GB"/>
        </w:rPr>
        <w:t>eliminated as much as possible. We are focusing on the lump sum and any funding agreements. With regard to the issue of the distribution of financial resources, we are limiting ourselves to the flow of money from the ministry to the institutions. The distr</w:t>
      </w:r>
      <w:r w:rsidRPr="007C20D9">
        <w:rPr>
          <w:lang w:val="en-GB"/>
        </w:rPr>
        <w:t>ibution within the institution across the faculties and programmes is not taken into consideration.</w:t>
      </w:r>
    </w:p>
    <w:p w:rsidR="0061520C" w:rsidRPr="007C20D9" w:rsidRDefault="0061520C">
      <w:pPr>
        <w:pStyle w:val="Plattetekst"/>
        <w:spacing w:before="94"/>
        <w:rPr>
          <w:lang w:val="en-GB"/>
        </w:rPr>
      </w:pPr>
    </w:p>
    <w:p w:rsidR="0061520C" w:rsidRPr="007C20D9" w:rsidRDefault="007C20D9">
      <w:pPr>
        <w:pStyle w:val="Plattetekst"/>
        <w:ind w:left="1275"/>
        <w:rPr>
          <w:lang w:val="en-GB"/>
        </w:rPr>
      </w:pPr>
      <w:r w:rsidRPr="007C20D9">
        <w:rPr>
          <w:lang w:val="en-GB"/>
        </w:rPr>
        <w:t xml:space="preserve">The first version of this document was </w:t>
      </w:r>
      <w:r w:rsidRPr="007C20D9">
        <w:rPr>
          <w:spacing w:val="-2"/>
          <w:lang w:val="en-GB"/>
        </w:rPr>
        <w:t xml:space="preserve">discussed </w:t>
      </w:r>
      <w:r w:rsidRPr="007C20D9">
        <w:rPr>
          <w:lang w:val="en-GB"/>
        </w:rPr>
        <w:t>at the General Meeting of Members on 2 April 2016</w:t>
      </w:r>
      <w:r w:rsidRPr="007C20D9">
        <w:rPr>
          <w:spacing w:val="-2"/>
          <w:lang w:val="en-GB"/>
        </w:rPr>
        <w:t>.</w:t>
      </w:r>
    </w:p>
    <w:p w:rsidR="0061520C" w:rsidRPr="007C20D9" w:rsidRDefault="007C20D9">
      <w:pPr>
        <w:pStyle w:val="Plattetekst"/>
        <w:spacing w:before="92" w:line="336" w:lineRule="auto"/>
        <w:ind w:left="1275" w:right="1392"/>
        <w:rPr>
          <w:lang w:val="en-GB"/>
        </w:rPr>
      </w:pPr>
      <w:r w:rsidRPr="007C20D9">
        <w:rPr>
          <w:lang w:val="en-GB"/>
        </w:rPr>
        <w:t xml:space="preserve">The current version is based on the funding vision as </w:t>
      </w:r>
      <w:r w:rsidRPr="007C20D9">
        <w:rPr>
          <w:lang w:val="en-GB"/>
        </w:rPr>
        <w:t>approved at the General Meeting of Members on 2 June 2016. The funding vision is largely written in a reflective style. Each section concludes with a concrete position.</w:t>
      </w:r>
    </w:p>
    <w:p w:rsidR="0061520C" w:rsidRPr="007C20D9" w:rsidRDefault="0061520C">
      <w:pPr>
        <w:pStyle w:val="Plattetekst"/>
        <w:spacing w:before="91"/>
        <w:rPr>
          <w:lang w:val="en-GB"/>
        </w:rPr>
      </w:pPr>
    </w:p>
    <w:p w:rsidR="0061520C" w:rsidRPr="007C20D9" w:rsidRDefault="007C20D9">
      <w:pPr>
        <w:pStyle w:val="Kop2"/>
        <w:rPr>
          <w:lang w:val="en-GB"/>
        </w:rPr>
      </w:pPr>
      <w:r w:rsidRPr="007C20D9">
        <w:rPr>
          <w:color w:val="C52B2F"/>
          <w:sz w:val="27"/>
          <w:lang w:val="en-GB"/>
        </w:rPr>
        <w:t xml:space="preserve">Declining trend in government contribution per </w:t>
      </w:r>
      <w:r w:rsidRPr="007C20D9">
        <w:rPr>
          <w:color w:val="C52B2F"/>
          <w:spacing w:val="-2"/>
          <w:sz w:val="27"/>
          <w:lang w:val="en-GB"/>
        </w:rPr>
        <w:t>student</w:t>
      </w:r>
    </w:p>
    <w:p w:rsidR="0061520C" w:rsidRPr="007C20D9" w:rsidRDefault="007C20D9">
      <w:pPr>
        <w:pStyle w:val="Plattetekst"/>
        <w:spacing w:before="118" w:line="336" w:lineRule="auto"/>
        <w:ind w:left="1275" w:right="1392"/>
        <w:rPr>
          <w:lang w:val="en-GB"/>
        </w:rPr>
      </w:pPr>
      <w:r w:rsidRPr="007C20D9">
        <w:rPr>
          <w:lang w:val="en-GB"/>
        </w:rPr>
        <w:t>The number of students in the N</w:t>
      </w:r>
      <w:r w:rsidRPr="007C20D9">
        <w:rPr>
          <w:lang w:val="en-GB"/>
        </w:rPr>
        <w:t>etherlands has been increasing for decades. In the 2000/2001 academic year, there were 478,997 students enrolled in higher education; in 2016/2017, that number had risen to 714,490, an increase of almost 50%. This is a positive development, as it means tha</w:t>
      </w:r>
      <w:r w:rsidRPr="007C20D9">
        <w:rPr>
          <w:lang w:val="en-GB"/>
        </w:rPr>
        <w:t xml:space="preserve">t more and more people are finding their way into higher education. However, government funding is lagging far behind the growth in student numbers. In higher education, for example, government funding per student fell from €19,900 in 2000 to just €15,000 </w:t>
      </w:r>
      <w:r w:rsidRPr="007C20D9">
        <w:rPr>
          <w:lang w:val="en-GB"/>
        </w:rPr>
        <w:t xml:space="preserve">in 2016. </w:t>
      </w:r>
    </w:p>
    <w:p w:rsidR="0061520C" w:rsidRPr="007C20D9" w:rsidRDefault="0061520C">
      <w:pPr>
        <w:pStyle w:val="Plattetekst"/>
        <w:spacing w:before="94"/>
        <w:rPr>
          <w:lang w:val="en-GB"/>
        </w:rPr>
      </w:pPr>
    </w:p>
    <w:p w:rsidR="0061520C" w:rsidRPr="007C20D9" w:rsidRDefault="007C20D9">
      <w:pPr>
        <w:pStyle w:val="Plattetekst"/>
        <w:spacing w:line="336" w:lineRule="auto"/>
        <w:ind w:left="1275" w:right="1313"/>
        <w:rPr>
          <w:lang w:val="en-GB"/>
        </w:rPr>
      </w:pPr>
      <w:r w:rsidRPr="007C20D9">
        <w:rPr>
          <w:lang w:val="en-GB"/>
        </w:rPr>
        <w:t>The national government must make more financial resources available for higher education in order to maintain standards and enable continuous improvement. However, the European University Association (EUA) assesses the Dutch funding system as a</w:t>
      </w:r>
      <w:r w:rsidRPr="007C20D9">
        <w:rPr>
          <w:lang w:val="en-GB"/>
        </w:rPr>
        <w:t xml:space="preserve"> 'growing system under pressure', as the number of students is increasing rapidly, but the financial resources remain virtually unchanged. Between 2008 and 2015, the number of students grew by 15.7%, but the government contribution to higher education grew</w:t>
      </w:r>
      <w:r w:rsidRPr="007C20D9">
        <w:rPr>
          <w:lang w:val="en-GB"/>
        </w:rPr>
        <w:t xml:space="preserve"> by only 4.8%, to a relatively low level of 0.5% of GDP. The Netherlands lags far behind Norway, Sweden, Austria, Flanders, Denmark, France, Germany and Turkey in this respect.</w:t>
      </w:r>
      <w:r w:rsidRPr="007C20D9">
        <w:rPr>
          <w:vertAlign w:val="superscript"/>
          <w:lang w:val="en-GB"/>
        </w:rPr>
        <w:t>2</w:t>
      </w: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7C20D9">
      <w:pPr>
        <w:pStyle w:val="Plattetekst"/>
        <w:spacing w:before="119"/>
        <w:rPr>
          <w:lang w:val="en-GB"/>
        </w:rPr>
      </w:pPr>
      <w:r>
        <w:rPr>
          <w:noProof/>
        </w:rPr>
        <mc:AlternateContent>
          <mc:Choice Requires="wps">
            <w:drawing>
              <wp:anchor distT="0" distB="0" distL="0" distR="0" simplePos="0" relativeHeight="251662336" behindDoc="1" locked="0" layoutInCell="1" allowOverlap="1">
                <wp:simplePos x="0" y="0"/>
                <wp:positionH relativeFrom="page">
                  <wp:posOffset>899160</wp:posOffset>
                </wp:positionH>
                <wp:positionV relativeFrom="paragraph">
                  <wp:posOffset>236999</wp:posOffset>
                </wp:positionV>
                <wp:extent cx="1828800" cy="9525"/>
                <wp:effectExtent l="0" t="0" r="0" b="0"/>
                <wp:wrapTopAndBottom/>
                <wp:docPr id="5" name="Graphic 5"/>
                <wp:cNvGraphicFramePr/>
                <a:graphic xmlns:a="http://schemas.openxmlformats.org/drawingml/2006/main">
                  <a:graphicData uri="http://schemas.microsoft.com/office/word/2010/wordprocessingShape">
                    <wps:wsp>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1B722AB" id="Graphic 5" o:spid="_x0000_s1026" style="position:absolute;margin-left:70.8pt;margin-top:18.65pt;width:2in;height:.75pt;z-index:-251654144;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" path="m1828800,l,,,9143r1828800,l1828800,xe" fillcolor="black" stroked="f">
                <v:path arrowok="t"/>
                <w10:wrap type="topAndBottom" anchorx="page"/>
              </v:shape>
            </w:pict>
          </mc:Fallback>
        </mc:AlternateContent>
      </w:r>
    </w:p>
    <w:p w:rsidR="0061520C" w:rsidRPr="007C20D9" w:rsidRDefault="007C20D9">
      <w:pPr>
        <w:pStyle w:val="Plattetekst"/>
        <w:spacing w:before="84" w:line="246" w:lineRule="exact"/>
        <w:ind w:left="1275"/>
        <w:rPr>
          <w:rFonts w:ascii="Calibri"/>
          <w:lang w:val="en-GB"/>
        </w:rPr>
      </w:pPr>
      <w:r w:rsidRPr="007C20D9">
        <w:rPr>
          <w:rFonts w:ascii="Calibri"/>
          <w:spacing w:val="-2"/>
          <w:position w:val="7"/>
          <w:sz w:val="13"/>
          <w:lang w:val="en-GB"/>
        </w:rPr>
        <w:t>1</w:t>
      </w:r>
      <w:hyperlink r:id="rId9">
        <w:r w:rsidRPr="007C20D9">
          <w:rPr>
            <w:rFonts w:ascii="Calibri"/>
            <w:color w:val="0563C1"/>
            <w:spacing w:val="-2"/>
            <w:u w:val="single" w:color="0563C1"/>
            <w:lang w:val="en-GB"/>
          </w:rPr>
          <w:t>https://www.vsnu.nl/dalende-rijksbijdrage.html</w:t>
        </w:r>
      </w:hyperlink>
    </w:p>
    <w:p w:rsidR="0061520C" w:rsidRPr="007C20D9" w:rsidRDefault="007C20D9">
      <w:pPr>
        <w:spacing w:line="246" w:lineRule="exact"/>
        <w:ind w:left="1275"/>
        <w:rPr>
          <w:rFonts w:ascii="Calibri"/>
          <w:i/>
          <w:sz w:val="20"/>
          <w:lang w:val="en-GB"/>
        </w:rPr>
      </w:pPr>
      <w:r w:rsidRPr="007C20D9">
        <w:rPr>
          <w:rFonts w:ascii="Calibri"/>
          <w:position w:val="7"/>
          <w:sz w:val="13"/>
          <w:lang w:val="en-GB"/>
        </w:rPr>
        <w:t>2</w:t>
      </w:r>
      <w:r w:rsidRPr="007C20D9">
        <w:rPr>
          <w:rFonts w:ascii="Calibri"/>
          <w:color w:val="0563C1"/>
          <w:sz w:val="20"/>
          <w:u w:val="single" w:color="0563C1"/>
          <w:lang w:val="en-GB"/>
        </w:rPr>
        <w:t xml:space="preserve">  European University Association (EUA): </w:t>
      </w:r>
      <w:r w:rsidRPr="007C20D9">
        <w:rPr>
          <w:rFonts w:ascii="Calibri"/>
          <w:i/>
          <w:color w:val="0563C1"/>
          <w:sz w:val="20"/>
          <w:u w:val="single" w:color="0563C1"/>
          <w:lang w:val="en-GB"/>
        </w:rPr>
        <w:t>Public Funding Observatory</w:t>
      </w:r>
      <w:r w:rsidRPr="007C20D9">
        <w:rPr>
          <w:rFonts w:ascii="Calibri"/>
          <w:i/>
          <w:color w:val="0563C1"/>
          <w:spacing w:val="-2"/>
          <w:sz w:val="20"/>
          <w:u w:val="single" w:color="0563C1"/>
          <w:lang w:val="en-GB"/>
        </w:rPr>
        <w:t xml:space="preserve"> 2016.</w:t>
      </w:r>
    </w:p>
    <w:p w:rsidR="0061520C" w:rsidRPr="007C20D9" w:rsidRDefault="0061520C">
      <w:pPr>
        <w:spacing w:line="246" w:lineRule="exact"/>
        <w:rPr>
          <w:rFonts w:ascii="Calibri"/>
          <w:i/>
          <w:sz w:val="20"/>
          <w:lang w:val="en-GB"/>
        </w:rPr>
        <w:sectPr w:rsidR="0061520C" w:rsidRPr="007C20D9">
          <w:pgSz w:w="11900" w:h="16840"/>
          <w:pgMar w:top="1340" w:right="141" w:bottom="280" w:left="141" w:header="708" w:footer="708" w:gutter="0"/>
          <w:cols w:space="708"/>
        </w:sectPr>
      </w:pPr>
    </w:p>
    <w:p w:rsidR="0061520C" w:rsidRPr="007C20D9" w:rsidRDefault="007C20D9">
      <w:pPr>
        <w:pStyle w:val="Plattetekst"/>
        <w:spacing w:before="75" w:line="336" w:lineRule="auto"/>
        <w:ind w:left="1275" w:right="1306"/>
        <w:rPr>
          <w:lang w:val="en-GB"/>
        </w:rPr>
      </w:pPr>
      <w:r w:rsidRPr="007C20D9">
        <w:rPr>
          <w:lang w:val="en-GB"/>
        </w:rPr>
        <w:lastRenderedPageBreak/>
        <w:t>The macro budget for higher education roughly consists of an education component and a research component. The education</w:t>
      </w:r>
      <w:r w:rsidRPr="007C20D9">
        <w:rPr>
          <w:lang w:val="en-GB"/>
        </w:rPr>
        <w:t xml:space="preserve"> component grows in line with the number of enrolled students and the number of degrees awarded, but the research component consists largely (in 2018: 55%) of a historical fixed base. In recent years, the research component has not kept pace with the growi</w:t>
      </w:r>
      <w:r w:rsidRPr="007C20D9">
        <w:rPr>
          <w:lang w:val="en-GB"/>
        </w:rPr>
        <w:t>ng number of students. This is particularly problematic at universities, because researchers are also teachers. So when a new teacher needs to be hired, part of their salary has to be paid from research funds. However, if these funds are declining in relat</w:t>
      </w:r>
      <w:r w:rsidRPr="007C20D9">
        <w:rPr>
          <w:lang w:val="en-GB"/>
        </w:rPr>
        <w:t>ive terms, this is at the expense of teaching resources. It is important that the government also increases the research component of funding in order to stimulate both research and education at universities of applied sciences and universities.</w:t>
      </w:r>
    </w:p>
    <w:p w:rsidR="0061520C" w:rsidRPr="007C20D9" w:rsidRDefault="0061520C">
      <w:pPr>
        <w:pStyle w:val="Plattetekst"/>
        <w:spacing w:before="93"/>
        <w:rPr>
          <w:lang w:val="en-GB"/>
        </w:rPr>
      </w:pPr>
    </w:p>
    <w:p w:rsidR="0061520C" w:rsidRPr="007C20D9" w:rsidRDefault="007C20D9">
      <w:pPr>
        <w:pStyle w:val="Plattetekst"/>
        <w:spacing w:line="336" w:lineRule="auto"/>
        <w:ind w:left="1275" w:right="1313"/>
        <w:rPr>
          <w:lang w:val="en-GB"/>
        </w:rPr>
      </w:pPr>
      <w:r w:rsidRPr="007C20D9">
        <w:rPr>
          <w:lang w:val="en-GB"/>
        </w:rPr>
        <w:t>There are</w:t>
      </w:r>
      <w:r w:rsidRPr="007C20D9">
        <w:rPr>
          <w:lang w:val="en-GB"/>
        </w:rPr>
        <w:t xml:space="preserve"> plans to conduct more research in higher professional education. We are positive about this. However, it is very important that when more research is conducted, universities of applied sciences should be able to claim research funding. Universities of app</w:t>
      </w:r>
      <w:r w:rsidRPr="007C20D9">
        <w:rPr>
          <w:lang w:val="en-GB"/>
        </w:rPr>
        <w:t xml:space="preserve">lied sciences and universities should not have to compete for money from the same research pot; this should always involve </w:t>
      </w:r>
      <w:r w:rsidRPr="007C20D9">
        <w:rPr>
          <w:i/>
          <w:lang w:val="en-GB"/>
        </w:rPr>
        <w:t xml:space="preserve">additional </w:t>
      </w:r>
      <w:r w:rsidRPr="007C20D9">
        <w:rPr>
          <w:lang w:val="en-GB"/>
        </w:rPr>
        <w:t>financial resources.</w:t>
      </w:r>
    </w:p>
    <w:p w:rsidR="0061520C" w:rsidRPr="007C20D9" w:rsidRDefault="0061520C">
      <w:pPr>
        <w:pStyle w:val="Plattetekst"/>
        <w:spacing w:before="90"/>
        <w:rPr>
          <w:lang w:val="en-GB"/>
        </w:rPr>
      </w:pPr>
    </w:p>
    <w:p w:rsidR="0061520C" w:rsidRPr="007C20D9" w:rsidRDefault="007C20D9">
      <w:pPr>
        <w:pStyle w:val="Plattetekst"/>
        <w:spacing w:line="336" w:lineRule="auto"/>
        <w:ind w:left="1275" w:right="1313"/>
        <w:rPr>
          <w:lang w:val="en-GB"/>
        </w:rPr>
      </w:pPr>
      <w:r w:rsidRPr="007C20D9">
        <w:rPr>
          <w:lang w:val="en-GB"/>
        </w:rPr>
        <w:t xml:space="preserve">Education enables individuals to develop and find their place in society. Society as a whole </w:t>
      </w:r>
      <w:r w:rsidRPr="007C20D9">
        <w:rPr>
          <w:lang w:val="en-GB"/>
        </w:rPr>
        <w:t>benefits enormously from good higher education. If financial resources do not grow in line with the number of students, this will damage the quality of higher education. It is therefore very important that the national government makes more financial resou</w:t>
      </w:r>
      <w:r w:rsidRPr="007C20D9">
        <w:rPr>
          <w:lang w:val="en-GB"/>
        </w:rPr>
        <w:t>rces available.</w:t>
      </w:r>
    </w:p>
    <w:p w:rsidR="0061520C" w:rsidRPr="007C20D9" w:rsidRDefault="0061520C">
      <w:pPr>
        <w:pStyle w:val="Plattetekst"/>
        <w:spacing w:before="94"/>
        <w:rPr>
          <w:lang w:val="en-GB"/>
        </w:rPr>
      </w:pPr>
    </w:p>
    <w:p w:rsidR="0061520C" w:rsidRPr="007C20D9" w:rsidRDefault="007C20D9">
      <w:pPr>
        <w:pStyle w:val="Kop3"/>
        <w:rPr>
          <w:lang w:val="en-GB"/>
        </w:rPr>
      </w:pPr>
      <w:r w:rsidRPr="007C20D9">
        <w:rPr>
          <w:color w:val="C52B2F"/>
          <w:spacing w:val="-2"/>
          <w:lang w:val="en-GB"/>
        </w:rPr>
        <w:t>Position</w:t>
      </w:r>
    </w:p>
    <w:p w:rsidR="0061520C" w:rsidRPr="007C20D9" w:rsidRDefault="007C20D9">
      <w:pPr>
        <w:pStyle w:val="Plattetekst"/>
        <w:spacing w:before="91"/>
        <w:ind w:left="1275"/>
        <w:rPr>
          <w:lang w:val="en-GB"/>
        </w:rPr>
      </w:pPr>
      <w:r w:rsidRPr="007C20D9">
        <w:rPr>
          <w:lang w:val="en-GB"/>
        </w:rPr>
        <w:t xml:space="preserve">Increase the government contribution to higher </w:t>
      </w:r>
      <w:r w:rsidRPr="007C20D9">
        <w:rPr>
          <w:spacing w:val="-2"/>
          <w:lang w:val="en-GB"/>
        </w:rPr>
        <w:t>education.</w:t>
      </w:r>
    </w:p>
    <w:p w:rsidR="0061520C" w:rsidRPr="007C20D9" w:rsidRDefault="0061520C">
      <w:pPr>
        <w:pStyle w:val="Plattetekst"/>
        <w:spacing w:before="185"/>
        <w:rPr>
          <w:lang w:val="en-GB"/>
        </w:rPr>
      </w:pPr>
    </w:p>
    <w:p w:rsidR="0061520C" w:rsidRPr="007C20D9" w:rsidRDefault="007C20D9">
      <w:pPr>
        <w:pStyle w:val="Kop2"/>
        <w:rPr>
          <w:lang w:val="en-GB"/>
        </w:rPr>
      </w:pPr>
      <w:r w:rsidRPr="007C20D9">
        <w:rPr>
          <w:color w:val="C52B2F"/>
          <w:sz w:val="27"/>
          <w:lang w:val="en-GB"/>
        </w:rPr>
        <w:t xml:space="preserve">The </w:t>
      </w:r>
      <w:r w:rsidRPr="007C20D9">
        <w:rPr>
          <w:color w:val="C52B2F"/>
          <w:spacing w:val="-2"/>
          <w:sz w:val="27"/>
          <w:lang w:val="en-GB"/>
        </w:rPr>
        <w:t>lump sum</w:t>
      </w:r>
    </w:p>
    <w:p w:rsidR="0061520C" w:rsidRPr="007C20D9" w:rsidRDefault="007C20D9">
      <w:pPr>
        <w:pStyle w:val="Plattetekst"/>
        <w:spacing w:before="117" w:line="336" w:lineRule="auto"/>
        <w:ind w:left="1275" w:right="1313"/>
        <w:rPr>
          <w:lang w:val="en-GB"/>
        </w:rPr>
      </w:pPr>
      <w:r w:rsidRPr="007C20D9">
        <w:rPr>
          <w:lang w:val="en-GB"/>
        </w:rPr>
        <w:t>The amount of money that an institution receives each year for education is not a fixed amount. It is recalculated annually based on a number of different fac</w:t>
      </w:r>
      <w:r w:rsidRPr="007C20D9">
        <w:rPr>
          <w:lang w:val="en-GB"/>
        </w:rPr>
        <w:t>tors. These include the number of students, the number of degrees awarded and the type of studies that students are pursuing. This part of the funding is called the lump sum, because institutions are free to spend the money as they see fit. The factors use</w:t>
      </w:r>
      <w:r w:rsidRPr="007C20D9">
        <w:rPr>
          <w:lang w:val="en-GB"/>
        </w:rPr>
        <w:t xml:space="preserve">d to calculate it therefore have no bearing on where the money ultimately ends up. Institutions are free to decide how they </w:t>
      </w:r>
      <w:r w:rsidRPr="007C20D9">
        <w:rPr>
          <w:spacing w:val="-2"/>
          <w:lang w:val="en-GB"/>
        </w:rPr>
        <w:t xml:space="preserve">allocate </w:t>
      </w:r>
      <w:r w:rsidRPr="007C20D9">
        <w:rPr>
          <w:lang w:val="en-GB"/>
        </w:rPr>
        <w:t>the money across faculties and programmes</w:t>
      </w:r>
      <w:r w:rsidRPr="007C20D9">
        <w:rPr>
          <w:spacing w:val="-2"/>
          <w:lang w:val="en-GB"/>
        </w:rPr>
        <w:t>.</w:t>
      </w:r>
    </w:p>
    <w:p w:rsidR="0061520C" w:rsidRPr="007C20D9" w:rsidRDefault="0061520C">
      <w:pPr>
        <w:pStyle w:val="Plattetekst"/>
        <w:spacing w:before="94"/>
        <w:rPr>
          <w:lang w:val="en-GB"/>
        </w:rPr>
      </w:pPr>
    </w:p>
    <w:p w:rsidR="0061520C" w:rsidRPr="007C20D9" w:rsidRDefault="007C20D9">
      <w:pPr>
        <w:pStyle w:val="Plattetekst"/>
        <w:spacing w:line="336" w:lineRule="auto"/>
        <w:ind w:left="1275" w:right="1555"/>
        <w:rPr>
          <w:lang w:val="en-GB"/>
        </w:rPr>
      </w:pPr>
      <w:r w:rsidRPr="007C20D9">
        <w:rPr>
          <w:lang w:val="en-GB"/>
        </w:rPr>
        <w:t>The various aspects of the lump sum are described below, along with the problem</w:t>
      </w:r>
      <w:r w:rsidRPr="007C20D9">
        <w:rPr>
          <w:lang w:val="en-GB"/>
        </w:rPr>
        <w:t>s this causes and possible improvements.</w:t>
      </w:r>
    </w:p>
    <w:p w:rsidR="0061520C" w:rsidRPr="007C20D9" w:rsidRDefault="0061520C">
      <w:pPr>
        <w:pStyle w:val="Plattetekst"/>
        <w:spacing w:line="336" w:lineRule="auto"/>
        <w:rPr>
          <w:lang w:val="en-GB"/>
        </w:rPr>
        <w:sectPr w:rsidR="0061520C" w:rsidRPr="007C20D9">
          <w:pgSz w:w="11900" w:h="16840"/>
          <w:pgMar w:top="1340" w:right="141" w:bottom="280" w:left="141" w:header="708" w:footer="708" w:gutter="0"/>
          <w:cols w:space="708"/>
        </w:sectPr>
      </w:pPr>
    </w:p>
    <w:p w:rsidR="0061520C" w:rsidRPr="007C20D9" w:rsidRDefault="007C20D9">
      <w:pPr>
        <w:pStyle w:val="Kop3"/>
        <w:spacing w:before="75"/>
        <w:rPr>
          <w:lang w:val="en-GB"/>
        </w:rPr>
      </w:pPr>
      <w:r w:rsidRPr="007C20D9">
        <w:rPr>
          <w:color w:val="C52B2F"/>
          <w:lang w:val="en-GB"/>
        </w:rPr>
        <w:lastRenderedPageBreak/>
        <w:t xml:space="preserve">Funding for education as a public </w:t>
      </w:r>
      <w:r w:rsidRPr="007C20D9">
        <w:rPr>
          <w:color w:val="C52B2F"/>
          <w:spacing w:val="-4"/>
          <w:lang w:val="en-GB"/>
        </w:rPr>
        <w:t>good</w:t>
      </w:r>
    </w:p>
    <w:p w:rsidR="0061520C" w:rsidRPr="007C20D9" w:rsidRDefault="007C20D9">
      <w:pPr>
        <w:pStyle w:val="Plattetekst"/>
        <w:spacing w:before="92" w:line="336" w:lineRule="auto"/>
        <w:ind w:left="1275" w:right="1392"/>
        <w:rPr>
          <w:lang w:val="en-GB"/>
        </w:rPr>
      </w:pPr>
      <w:r w:rsidRPr="007C20D9">
        <w:rPr>
          <w:lang w:val="en-GB"/>
        </w:rPr>
        <w:t>Funding is provided through higher education institutions. Colleges and universities receive financial resources to carry out their (public) tasks. We consider this a logical approach, as education is a public good, accessible to anyone who wants and is ab</w:t>
      </w:r>
      <w:r w:rsidRPr="007C20D9">
        <w:rPr>
          <w:lang w:val="en-GB"/>
        </w:rPr>
        <w:t>le to participate. For this reason, so-called demand-driven funding, whereby students receive learning credits and institutions must compete for students, would be a poor idea.</w:t>
      </w:r>
      <w:r w:rsidRPr="007C20D9">
        <w:rPr>
          <w:spacing w:val="-5"/>
          <w:lang w:val="en-GB"/>
        </w:rPr>
        <w:t xml:space="preserve"> </w:t>
      </w:r>
      <w:r w:rsidRPr="007C20D9">
        <w:rPr>
          <w:lang w:val="en-GB"/>
        </w:rPr>
        <w:t>In that market-driven climate, competition for students would cause institution</w:t>
      </w:r>
      <w:r w:rsidRPr="007C20D9">
        <w:rPr>
          <w:lang w:val="en-GB"/>
        </w:rPr>
        <w:t xml:space="preserve">s to copy each other's specific 'formulas for success', </w:t>
      </w:r>
      <w:r w:rsidRPr="007C20D9">
        <w:rPr>
          <w:spacing w:val="-2"/>
          <w:lang w:val="en-GB"/>
        </w:rPr>
        <w:t>resulting in</w:t>
      </w:r>
      <w:r w:rsidRPr="007C20D9">
        <w:rPr>
          <w:lang w:val="en-GB"/>
        </w:rPr>
        <w:t xml:space="preserve"> less differentiation and more economies of scale</w:t>
      </w:r>
      <w:r w:rsidRPr="007C20D9">
        <w:rPr>
          <w:spacing w:val="-2"/>
          <w:lang w:val="en-GB"/>
        </w:rPr>
        <w:t>.</w:t>
      </w:r>
    </w:p>
    <w:p w:rsidR="0061520C" w:rsidRPr="007C20D9" w:rsidRDefault="0061520C">
      <w:pPr>
        <w:pStyle w:val="Plattetekst"/>
        <w:spacing w:before="93"/>
        <w:rPr>
          <w:lang w:val="en-GB"/>
        </w:rPr>
      </w:pPr>
    </w:p>
    <w:p w:rsidR="0061520C" w:rsidRPr="007C20D9" w:rsidRDefault="007C20D9">
      <w:pPr>
        <w:pStyle w:val="Kop3"/>
        <w:spacing w:before="0"/>
        <w:rPr>
          <w:lang w:val="en-GB"/>
        </w:rPr>
      </w:pPr>
      <w:r w:rsidRPr="007C20D9">
        <w:rPr>
          <w:color w:val="C52B2F"/>
          <w:spacing w:val="-2"/>
          <w:lang w:val="en-GB"/>
        </w:rPr>
        <w:t>Position</w:t>
      </w:r>
    </w:p>
    <w:p w:rsidR="0061520C" w:rsidRPr="007C20D9" w:rsidRDefault="007C20D9">
      <w:pPr>
        <w:pStyle w:val="Plattetekst"/>
        <w:spacing w:before="92"/>
        <w:ind w:left="1275"/>
        <w:rPr>
          <w:lang w:val="en-GB"/>
        </w:rPr>
      </w:pPr>
      <w:r w:rsidRPr="007C20D9">
        <w:rPr>
          <w:lang w:val="en-GB"/>
        </w:rPr>
        <w:t xml:space="preserve">Retain the structure of </w:t>
      </w:r>
      <w:r w:rsidRPr="007C20D9">
        <w:rPr>
          <w:spacing w:val="-2"/>
          <w:lang w:val="en-GB"/>
        </w:rPr>
        <w:t>supply-based funding.</w:t>
      </w:r>
    </w:p>
    <w:p w:rsidR="0061520C" w:rsidRPr="007C20D9" w:rsidRDefault="0061520C">
      <w:pPr>
        <w:pStyle w:val="Plattetekst"/>
        <w:spacing w:before="183"/>
        <w:rPr>
          <w:lang w:val="en-GB"/>
        </w:rPr>
      </w:pPr>
    </w:p>
    <w:p w:rsidR="0061520C" w:rsidRPr="007C20D9" w:rsidRDefault="007C20D9">
      <w:pPr>
        <w:pStyle w:val="Kop3"/>
        <w:spacing w:before="0"/>
        <w:rPr>
          <w:lang w:val="en-GB"/>
        </w:rPr>
      </w:pPr>
      <w:r w:rsidRPr="007C20D9">
        <w:rPr>
          <w:color w:val="C52B2F"/>
          <w:lang w:val="en-GB"/>
        </w:rPr>
        <w:t xml:space="preserve">Funding based on </w:t>
      </w:r>
      <w:r w:rsidRPr="007C20D9">
        <w:rPr>
          <w:color w:val="C52B2F"/>
          <w:spacing w:val="-2"/>
          <w:lang w:val="en-GB"/>
        </w:rPr>
        <w:t>student numbers</w:t>
      </w:r>
    </w:p>
    <w:p w:rsidR="0061520C" w:rsidRPr="007C20D9" w:rsidRDefault="007C20D9">
      <w:pPr>
        <w:pStyle w:val="Plattetekst"/>
        <w:spacing w:before="92" w:line="336" w:lineRule="auto"/>
        <w:ind w:left="1275" w:right="1555"/>
        <w:rPr>
          <w:lang w:val="en-GB"/>
        </w:rPr>
      </w:pPr>
      <w:r w:rsidRPr="007C20D9">
        <w:rPr>
          <w:lang w:val="en-GB"/>
        </w:rPr>
        <w:t xml:space="preserve">The number of students enrolled at an </w:t>
      </w:r>
      <w:r w:rsidRPr="007C20D9">
        <w:rPr>
          <w:lang w:val="en-GB"/>
        </w:rPr>
        <w:t>institution has a significant impact on the amount of funding it receives. This is not surprising in itself, as more students generally means higher costs. However, problems arise when the additional income per student does not flow back into the education</w:t>
      </w:r>
      <w:r w:rsidRPr="007C20D9">
        <w:rPr>
          <w:lang w:val="en-GB"/>
        </w:rPr>
        <w:t xml:space="preserve"> of these students. This creates an incentive to expand already large programmes such as law and psychology without increasing teaching capacity. This not only means even larger lectures, but also larger seminars and less personal supervision.</w:t>
      </w:r>
    </w:p>
    <w:p w:rsidR="0061520C" w:rsidRPr="007C20D9" w:rsidRDefault="0061520C">
      <w:pPr>
        <w:pStyle w:val="Plattetekst"/>
        <w:spacing w:before="93"/>
        <w:rPr>
          <w:lang w:val="en-GB"/>
        </w:rPr>
      </w:pPr>
    </w:p>
    <w:p w:rsidR="0061520C" w:rsidRPr="007C20D9" w:rsidRDefault="007C20D9">
      <w:pPr>
        <w:pStyle w:val="Plattetekst"/>
        <w:spacing w:before="1" w:line="336" w:lineRule="auto"/>
        <w:ind w:left="1275" w:right="1392"/>
        <w:rPr>
          <w:lang w:val="en-GB"/>
        </w:rPr>
      </w:pPr>
      <w:r w:rsidRPr="007C20D9">
        <w:rPr>
          <w:lang w:val="en-GB"/>
        </w:rPr>
        <w:t>It is there</w:t>
      </w:r>
      <w:r w:rsidRPr="007C20D9">
        <w:rPr>
          <w:lang w:val="en-GB"/>
        </w:rPr>
        <w:t xml:space="preserve">fore important to counteract the incentive for unlimited expansion. However, completely disregarding the factor of student numbers is also undesirable. If funding is not dependent on the number of students, this creates a strong incentive to turn students </w:t>
      </w:r>
      <w:r w:rsidRPr="007C20D9">
        <w:rPr>
          <w:lang w:val="en-GB"/>
        </w:rPr>
        <w:t>away and keep programmes small or limit the number of different programmes. It is particularly important that when programmes grow, teaching capacity grows with them.</w:t>
      </w:r>
    </w:p>
    <w:p w:rsidR="0061520C" w:rsidRPr="007C20D9" w:rsidRDefault="007C20D9">
      <w:pPr>
        <w:pStyle w:val="Plattetekst"/>
        <w:spacing w:line="336" w:lineRule="auto"/>
        <w:ind w:left="1275" w:right="1662"/>
        <w:jc w:val="both"/>
        <w:rPr>
          <w:lang w:val="en-GB"/>
        </w:rPr>
      </w:pPr>
      <w:r w:rsidRPr="007C20D9">
        <w:rPr>
          <w:lang w:val="en-GB"/>
        </w:rPr>
        <w:t xml:space="preserve">One possible way to counterbalance the importance of student numbers is to also take the </w:t>
      </w:r>
      <w:r w:rsidRPr="007C20D9">
        <w:rPr>
          <w:lang w:val="en-GB"/>
        </w:rPr>
        <w:t>number of teachers into account. This could be done by adding the student/teacher ratio factor, whereby the number of teachers is calculated in full-time equivalents (FTEs)</w:t>
      </w:r>
      <w:r w:rsidRPr="007C20D9">
        <w:rPr>
          <w:vertAlign w:val="superscript"/>
          <w:lang w:val="en-GB"/>
        </w:rPr>
        <w:t>3</w:t>
      </w:r>
      <w:r w:rsidRPr="007C20D9">
        <w:rPr>
          <w:lang w:val="en-GB"/>
        </w:rPr>
        <w:t>.</w:t>
      </w: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7C20D9">
      <w:pPr>
        <w:pStyle w:val="Plattetekst"/>
        <w:spacing w:before="76"/>
        <w:rPr>
          <w:lang w:val="en-GB"/>
        </w:rPr>
      </w:pPr>
      <w:r>
        <w:rPr>
          <w:noProof/>
        </w:rPr>
        <mc:AlternateContent>
          <mc:Choice Requires="wps">
            <w:drawing>
              <wp:anchor distT="0" distB="0" distL="0" distR="0" simplePos="0" relativeHeight="251664384" behindDoc="1" locked="0" layoutInCell="1" allowOverlap="1">
                <wp:simplePos x="0" y="0"/>
                <wp:positionH relativeFrom="page">
                  <wp:posOffset>899160</wp:posOffset>
                </wp:positionH>
                <wp:positionV relativeFrom="paragraph">
                  <wp:posOffset>209704</wp:posOffset>
                </wp:positionV>
                <wp:extent cx="1828800" cy="9525"/>
                <wp:effectExtent l="0" t="0" r="0" b="0"/>
                <wp:wrapTopAndBottom/>
                <wp:docPr id="6" name="Graphic 6"/>
                <wp:cNvGraphicFramePr/>
                <a:graphic xmlns:a="http://schemas.openxmlformats.org/drawingml/2006/main">
                  <a:graphicData uri="http://schemas.microsoft.com/office/word/2010/wordprocessingShape">
                    <wps:wsp>
                      <wps:cNvSpPr/>
                      <wps:spPr>
                        <a:xfrm>
                          <a:off x="0" y="0"/>
                          <a:ext cx="1828800" cy="9525"/>
                        </a:xfrm>
                        <a:custGeom>
                          <a:avLst/>
                          <a:gdLst/>
                          <a:ahLst/>
                          <a:cxnLst/>
                          <a:rect l="l" t="t" r="r" b="b"/>
                          <a:pathLst>
                            <a:path w="1828800" h="9525">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09A521C" id="Graphic 6" o:spid="_x0000_s1026" style="position:absolute;margin-left:70.8pt;margin-top:16.5pt;width:2in;height:.75pt;z-index:-251652096;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" path="m1828800,l,,,9144r1828800,l1828800,xe" fillcolor="black" stroked="f">
                <v:path arrowok="t"/>
                <w10:wrap type="topAndBottom" anchorx="page"/>
              </v:shape>
            </w:pict>
          </mc:Fallback>
        </mc:AlternateContent>
      </w:r>
    </w:p>
    <w:p w:rsidR="0061520C" w:rsidRPr="007C20D9" w:rsidRDefault="007C20D9">
      <w:pPr>
        <w:pStyle w:val="Plattetekst"/>
        <w:spacing w:before="91"/>
        <w:ind w:left="1275"/>
        <w:rPr>
          <w:lang w:val="en-GB"/>
        </w:rPr>
      </w:pPr>
      <w:r w:rsidRPr="007C20D9">
        <w:rPr>
          <w:vertAlign w:val="superscript"/>
          <w:lang w:val="en-GB"/>
        </w:rPr>
        <w:t>3</w:t>
      </w:r>
      <w:r w:rsidRPr="007C20D9">
        <w:rPr>
          <w:lang w:val="en-GB"/>
        </w:rPr>
        <w:t xml:space="preserve">  It is important to clearly define the term 'teacher'. </w:t>
      </w:r>
      <w:r w:rsidRPr="007C20D9">
        <w:rPr>
          <w:spacing w:val="-5"/>
          <w:lang w:val="en-GB"/>
        </w:rPr>
        <w:t>For example,</w:t>
      </w:r>
    </w:p>
    <w:p w:rsidR="0061520C" w:rsidRPr="007C20D9" w:rsidRDefault="007C20D9">
      <w:pPr>
        <w:pStyle w:val="Plattetekst"/>
        <w:ind w:left="1275" w:right="1392"/>
        <w:rPr>
          <w:lang w:val="en-GB"/>
        </w:rPr>
      </w:pPr>
      <w:r w:rsidRPr="007C20D9">
        <w:rPr>
          <w:lang w:val="en-GB"/>
        </w:rPr>
        <w:t xml:space="preserve">, it </w:t>
      </w:r>
      <w:r w:rsidRPr="007C20D9">
        <w:rPr>
          <w:lang w:val="en-GB"/>
        </w:rPr>
        <w:t>is undesirable to include student assistants in the calculation. Another difficult factor is that teachers both teach and conduct research. If additional teachers are hired, but they mainly conduct research, this is valuable in itself, but it does not nece</w:t>
      </w:r>
      <w:r w:rsidRPr="007C20D9">
        <w:rPr>
          <w:lang w:val="en-GB"/>
        </w:rPr>
        <w:t>ssarily translate into higher quality education. There are also examples of teachers who work on a self-employed basis, such as practical teachers in higher professional education.</w:t>
      </w:r>
    </w:p>
    <w:p w:rsidR="0061520C" w:rsidRPr="007C20D9" w:rsidRDefault="0061520C">
      <w:pPr>
        <w:pStyle w:val="Plattetekst"/>
        <w:spacing w:before="2"/>
        <w:rPr>
          <w:lang w:val="en-GB"/>
        </w:rPr>
      </w:pPr>
    </w:p>
    <w:p w:rsidR="0061520C" w:rsidRPr="007C20D9" w:rsidRDefault="007C20D9">
      <w:pPr>
        <w:pStyle w:val="Plattetekst"/>
        <w:ind w:left="1275" w:right="1392"/>
        <w:rPr>
          <w:lang w:val="en-GB"/>
        </w:rPr>
      </w:pPr>
      <w:r w:rsidRPr="007C20D9">
        <w:rPr>
          <w:lang w:val="en-GB"/>
        </w:rPr>
        <w:t>Although it is somewhat more complicated for self-employed teachers, it is</w:t>
      </w:r>
      <w:r w:rsidRPr="007C20D9">
        <w:rPr>
          <w:lang w:val="en-GB"/>
        </w:rPr>
        <w:t xml:space="preserve"> possible to convert the appointment into FTEs. These can therefore be included in the calculation. The distinction between research and teaching is very difficult to define precisely. Not only is it difficult to keep track of the hours exactly, but there </w:t>
      </w:r>
      <w:r w:rsidRPr="007C20D9">
        <w:rPr>
          <w:lang w:val="en-GB"/>
        </w:rPr>
        <w:t>is also a lot of overlap, for example when supervising a student doing graduation research. In the student/teacher ratio, it is therefore more practical to use the teacher's full appointment.</w:t>
      </w:r>
    </w:p>
    <w:p w:rsidR="0061520C" w:rsidRPr="007C20D9" w:rsidRDefault="0061520C">
      <w:pPr>
        <w:pStyle w:val="Plattetekst"/>
        <w:rPr>
          <w:lang w:val="en-GB"/>
        </w:rPr>
        <w:sectPr w:rsidR="0061520C" w:rsidRPr="007C20D9">
          <w:pgSz w:w="11900" w:h="16840"/>
          <w:pgMar w:top="1340" w:right="141" w:bottom="280" w:left="141" w:header="708" w:footer="708" w:gutter="0"/>
          <w:cols w:space="708"/>
        </w:sectPr>
      </w:pPr>
    </w:p>
    <w:p w:rsidR="0061520C" w:rsidRPr="007C20D9" w:rsidRDefault="007C20D9">
      <w:pPr>
        <w:pStyle w:val="Kop3"/>
        <w:spacing w:before="75"/>
        <w:rPr>
          <w:lang w:val="en-GB"/>
        </w:rPr>
      </w:pPr>
      <w:r w:rsidRPr="007C20D9">
        <w:rPr>
          <w:color w:val="C52B2F"/>
          <w:spacing w:val="-2"/>
          <w:lang w:val="en-GB"/>
        </w:rPr>
        <w:lastRenderedPageBreak/>
        <w:t>Position</w:t>
      </w:r>
    </w:p>
    <w:p w:rsidR="0061520C" w:rsidRPr="007C20D9" w:rsidRDefault="007C20D9">
      <w:pPr>
        <w:pStyle w:val="Plattetekst"/>
        <w:spacing w:before="92" w:line="336" w:lineRule="auto"/>
        <w:ind w:left="1275" w:right="1555"/>
        <w:rPr>
          <w:lang w:val="en-GB"/>
        </w:rPr>
      </w:pPr>
      <w:r w:rsidRPr="007C20D9">
        <w:rPr>
          <w:lang w:val="en-GB"/>
        </w:rPr>
        <w:t>Retain the student numbers factor and add</w:t>
      </w:r>
      <w:r w:rsidRPr="007C20D9">
        <w:rPr>
          <w:lang w:val="en-GB"/>
        </w:rPr>
        <w:t xml:space="preserve"> the student-teacher ratio factor, whereby the number of teachers is calculated in FTEs and student assistants are not included.</w:t>
      </w:r>
    </w:p>
    <w:p w:rsidR="0061520C" w:rsidRPr="007C20D9" w:rsidRDefault="0061520C">
      <w:pPr>
        <w:pStyle w:val="Plattetekst"/>
        <w:spacing w:before="97"/>
        <w:rPr>
          <w:lang w:val="en-GB"/>
        </w:rPr>
      </w:pPr>
    </w:p>
    <w:p w:rsidR="0061520C" w:rsidRPr="007C20D9" w:rsidRDefault="007C20D9">
      <w:pPr>
        <w:pStyle w:val="Kop2"/>
        <w:rPr>
          <w:lang w:val="en-GB"/>
        </w:rPr>
      </w:pPr>
      <w:r w:rsidRPr="007C20D9">
        <w:rPr>
          <w:color w:val="C52B2F"/>
          <w:sz w:val="27"/>
          <w:lang w:val="en-GB"/>
        </w:rPr>
        <w:t xml:space="preserve">Nominal </w:t>
      </w:r>
      <w:r w:rsidRPr="007C20D9">
        <w:rPr>
          <w:color w:val="C52B2F"/>
          <w:spacing w:val="-2"/>
          <w:sz w:val="27"/>
          <w:lang w:val="en-GB"/>
        </w:rPr>
        <w:t>duration of study</w:t>
      </w:r>
    </w:p>
    <w:p w:rsidR="0061520C" w:rsidRPr="007C20D9" w:rsidRDefault="007C20D9">
      <w:pPr>
        <w:pStyle w:val="Plattetekst"/>
        <w:spacing w:before="117" w:line="336" w:lineRule="auto"/>
        <w:ind w:left="1275" w:right="1313"/>
        <w:rPr>
          <w:lang w:val="en-GB"/>
        </w:rPr>
      </w:pPr>
      <w:r w:rsidRPr="007C20D9">
        <w:rPr>
          <w:lang w:val="en-GB"/>
        </w:rPr>
        <w:t xml:space="preserve">Institutions receive a certain amount per </w:t>
      </w:r>
      <w:r w:rsidRPr="007C20D9">
        <w:rPr>
          <w:i/>
          <w:lang w:val="en-GB"/>
        </w:rPr>
        <w:t xml:space="preserve">nominal </w:t>
      </w:r>
      <w:r w:rsidRPr="007C20D9">
        <w:rPr>
          <w:lang w:val="en-GB"/>
        </w:rPr>
        <w:t>student each year. This means that the institution is not funded for, for example, a fifth-year bachelor's student. We see this as a perverse incentive, because as a result of this system, institutions want as many students as possible to graduate within t</w:t>
      </w:r>
      <w:r w:rsidRPr="007C20D9">
        <w:rPr>
          <w:lang w:val="en-GB"/>
        </w:rPr>
        <w:t xml:space="preserve">he nominal duration of their studies. This is despite the fact that many students themselves would like the flexibility to take extra courses, do a year of student council work or study at a slower pace because they want </w:t>
      </w:r>
      <w:r w:rsidRPr="007C20D9">
        <w:rPr>
          <w:spacing w:val="-2"/>
          <w:lang w:val="en-GB"/>
        </w:rPr>
        <w:t>to work</w:t>
      </w:r>
      <w:r w:rsidRPr="007C20D9">
        <w:rPr>
          <w:lang w:val="en-GB"/>
        </w:rPr>
        <w:t xml:space="preserve"> alongside their studies</w:t>
      </w:r>
      <w:r w:rsidRPr="007C20D9">
        <w:rPr>
          <w:spacing w:val="-2"/>
          <w:lang w:val="en-GB"/>
        </w:rPr>
        <w:t>.</w:t>
      </w:r>
    </w:p>
    <w:p w:rsidR="0061520C" w:rsidRPr="007C20D9" w:rsidRDefault="0061520C">
      <w:pPr>
        <w:pStyle w:val="Plattetekst"/>
        <w:spacing w:before="89"/>
        <w:rPr>
          <w:lang w:val="en-GB"/>
        </w:rPr>
      </w:pPr>
    </w:p>
    <w:p w:rsidR="0061520C" w:rsidRPr="007C20D9" w:rsidRDefault="007C20D9">
      <w:pPr>
        <w:pStyle w:val="Plattetekst"/>
        <w:spacing w:before="1" w:line="336" w:lineRule="auto"/>
        <w:ind w:left="1275" w:right="1334"/>
        <w:rPr>
          <w:lang w:val="en-GB"/>
        </w:rPr>
      </w:pPr>
      <w:r w:rsidRPr="007C20D9">
        <w:rPr>
          <w:lang w:val="en-GB"/>
        </w:rPr>
        <w:t>T</w:t>
      </w:r>
      <w:r w:rsidRPr="007C20D9">
        <w:rPr>
          <w:lang w:val="en-GB"/>
        </w:rPr>
        <w:t>he perverse incentive also works to the disadvantage of so-called 'second-chance students' – students who change their field of study during their studies. If a student decides to switch after two years of study at higher education institution A and enrols</w:t>
      </w:r>
      <w:r w:rsidRPr="007C20D9">
        <w:rPr>
          <w:lang w:val="en-GB"/>
        </w:rPr>
        <w:t xml:space="preserve"> at higher education institution B, this student will only generate two years of funding for university college B, even though the student still has at least four years to go. Institutions have a social responsibility to offer high-quality education to eve</w:t>
      </w:r>
      <w:r w:rsidRPr="007C20D9">
        <w:rPr>
          <w:lang w:val="en-GB"/>
        </w:rPr>
        <w:t>ry student, including those who take a little longer to complete their studies or who change their field of study.</w:t>
      </w:r>
    </w:p>
    <w:p w:rsidR="0061520C" w:rsidRPr="007C20D9" w:rsidRDefault="0061520C">
      <w:pPr>
        <w:pStyle w:val="Plattetekst"/>
        <w:spacing w:before="93"/>
        <w:rPr>
          <w:lang w:val="en-GB"/>
        </w:rPr>
      </w:pPr>
    </w:p>
    <w:p w:rsidR="0061520C" w:rsidRPr="007C20D9" w:rsidRDefault="007C20D9">
      <w:pPr>
        <w:pStyle w:val="Plattetekst"/>
        <w:spacing w:line="336" w:lineRule="auto"/>
        <w:ind w:left="1275" w:right="1392"/>
        <w:rPr>
          <w:lang w:val="en-GB"/>
        </w:rPr>
      </w:pPr>
      <w:r w:rsidRPr="007C20D9">
        <w:rPr>
          <w:lang w:val="en-GB"/>
        </w:rPr>
        <w:t xml:space="preserve">Ideally, higher education institutions should receive funding for </w:t>
      </w:r>
      <w:r w:rsidRPr="007C20D9">
        <w:rPr>
          <w:i/>
          <w:lang w:val="en-GB"/>
        </w:rPr>
        <w:t xml:space="preserve">all </w:t>
      </w:r>
      <w:r w:rsidRPr="007C20D9">
        <w:rPr>
          <w:lang w:val="en-GB"/>
        </w:rPr>
        <w:t xml:space="preserve">enrolled students (and not just those studying on a full-time basis). </w:t>
      </w:r>
      <w:r w:rsidRPr="007C20D9">
        <w:rPr>
          <w:lang w:val="en-GB"/>
        </w:rPr>
        <w:t xml:space="preserve">This would shift the focus from efficiency and rapid graduation to providing opportunities for </w:t>
      </w:r>
      <w:r w:rsidRPr="007C20D9">
        <w:rPr>
          <w:i/>
          <w:lang w:val="en-GB"/>
        </w:rPr>
        <w:t xml:space="preserve">personal development </w:t>
      </w:r>
      <w:r w:rsidRPr="007C20D9">
        <w:rPr>
          <w:lang w:val="en-GB"/>
        </w:rPr>
        <w:t>and growth. However, this would require a drastic increase in government funding for higher education.</w:t>
      </w:r>
    </w:p>
    <w:p w:rsidR="0061520C" w:rsidRPr="007C20D9" w:rsidRDefault="0061520C">
      <w:pPr>
        <w:pStyle w:val="Plattetekst"/>
        <w:spacing w:before="90"/>
        <w:rPr>
          <w:lang w:val="en-GB"/>
        </w:rPr>
      </w:pPr>
    </w:p>
    <w:p w:rsidR="0061520C" w:rsidRPr="007C20D9" w:rsidRDefault="007C20D9">
      <w:pPr>
        <w:pStyle w:val="Plattetekst"/>
        <w:spacing w:before="1" w:line="336" w:lineRule="auto"/>
        <w:ind w:left="1275" w:right="1421"/>
        <w:rPr>
          <w:lang w:val="en-GB"/>
        </w:rPr>
      </w:pPr>
      <w:r w:rsidRPr="007C20D9">
        <w:rPr>
          <w:lang w:val="en-GB"/>
        </w:rPr>
        <w:t>If the government contribution is no</w:t>
      </w:r>
      <w:r w:rsidRPr="007C20D9">
        <w:rPr>
          <w:lang w:val="en-GB"/>
        </w:rPr>
        <w:t>t increased, or only slightly, the best solution would be to agree that universities and colleges receive funding for students who take up to one year longer than the standard duration of their programme. The average higher professional education student t</w:t>
      </w:r>
      <w:r w:rsidRPr="007C20D9">
        <w:rPr>
          <w:lang w:val="en-GB"/>
        </w:rPr>
        <w:t>akes more than six months longer than the standard duration, while the average university student takes more than a year longer. By funding students for an extra year, institutions will have the resources to provide good education to their students who tak</w:t>
      </w:r>
      <w:r w:rsidRPr="007C20D9">
        <w:rPr>
          <w:lang w:val="en-GB"/>
        </w:rPr>
        <w:t>e an extra year. In this way, the total pot of money for higher education will be spread more evenly across a larger group of students, and the funding will be more in line with the primary process of institutions: educating all enrolled students.</w:t>
      </w:r>
    </w:p>
    <w:p w:rsidR="0061520C" w:rsidRPr="007C20D9" w:rsidRDefault="0061520C">
      <w:pPr>
        <w:pStyle w:val="Plattetekst"/>
        <w:spacing w:before="93"/>
        <w:rPr>
          <w:lang w:val="en-GB"/>
        </w:rPr>
      </w:pPr>
    </w:p>
    <w:p w:rsidR="0061520C" w:rsidRPr="007C20D9" w:rsidRDefault="007C20D9">
      <w:pPr>
        <w:pStyle w:val="Plattetekst"/>
        <w:spacing w:line="336" w:lineRule="auto"/>
        <w:ind w:left="1275" w:right="1329"/>
        <w:rPr>
          <w:lang w:val="en-GB"/>
        </w:rPr>
      </w:pPr>
      <w:r w:rsidRPr="007C20D9">
        <w:rPr>
          <w:lang w:val="en-GB"/>
        </w:rPr>
        <w:t>In addi</w:t>
      </w:r>
      <w:r w:rsidRPr="007C20D9">
        <w:rPr>
          <w:lang w:val="en-GB"/>
        </w:rPr>
        <w:t>tion, as part of the above proposal, we advocate the introduction of a 'reset function' in the funding system. This means that when a student starts a second degree before completing the first, the number of funded years is 'reset', so that as a student yo</w:t>
      </w:r>
      <w:r w:rsidRPr="007C20D9">
        <w:rPr>
          <w:lang w:val="en-GB"/>
        </w:rPr>
        <w:t>u are again funded by the government for a nominal duration of study – plus one year. If, for example, a student stops after one year of study and then starts a new programme, this proposal treats that student in the same way as any other student who is ju</w:t>
      </w:r>
      <w:r w:rsidRPr="007C20D9">
        <w:rPr>
          <w:lang w:val="en-GB"/>
        </w:rPr>
        <w:t xml:space="preserve">st starting out. In this way, institutions do not experience any (financial) obstacles to allowing students to </w:t>
      </w:r>
      <w:r w:rsidRPr="007C20D9">
        <w:rPr>
          <w:spacing w:val="-2"/>
          <w:lang w:val="en-GB"/>
        </w:rPr>
        <w:t xml:space="preserve">pursue </w:t>
      </w:r>
      <w:r w:rsidRPr="007C20D9">
        <w:rPr>
          <w:lang w:val="en-GB"/>
        </w:rPr>
        <w:t>more than one programme</w:t>
      </w:r>
      <w:r w:rsidRPr="007C20D9">
        <w:rPr>
          <w:spacing w:val="-2"/>
          <w:lang w:val="en-GB"/>
        </w:rPr>
        <w:t>.</w:t>
      </w:r>
    </w:p>
    <w:p w:rsidR="0061520C" w:rsidRPr="007C20D9" w:rsidRDefault="0061520C">
      <w:pPr>
        <w:pStyle w:val="Plattetekst"/>
        <w:spacing w:line="336" w:lineRule="auto"/>
        <w:rPr>
          <w:lang w:val="en-GB"/>
        </w:rPr>
        <w:sectPr w:rsidR="0061520C" w:rsidRPr="007C20D9">
          <w:pgSz w:w="11900" w:h="16840"/>
          <w:pgMar w:top="1340" w:right="141" w:bottom="280" w:left="141" w:header="708" w:footer="708" w:gutter="0"/>
          <w:cols w:space="708"/>
        </w:sectPr>
      </w:pPr>
    </w:p>
    <w:p w:rsidR="0061520C" w:rsidRPr="007C20D9" w:rsidRDefault="007C20D9">
      <w:pPr>
        <w:pStyle w:val="Plattetekst"/>
        <w:spacing w:before="75" w:line="336" w:lineRule="auto"/>
        <w:ind w:left="1275" w:right="1392"/>
        <w:rPr>
          <w:lang w:val="en-GB"/>
        </w:rPr>
      </w:pPr>
      <w:bookmarkStart w:id="0" w:name="_GoBack"/>
      <w:bookmarkEnd w:id="0"/>
      <w:r w:rsidRPr="007C20D9">
        <w:rPr>
          <w:lang w:val="en-GB"/>
        </w:rPr>
        <w:lastRenderedPageBreak/>
        <w:t>Finally, as long as not all students are funded, we advocate for the funding of transition programm</w:t>
      </w:r>
      <w:r w:rsidRPr="007C20D9">
        <w:rPr>
          <w:lang w:val="en-GB"/>
        </w:rPr>
        <w:t>es. These are important for promoting the transition from higher professional education to university education and for giving university students the opportunity to pursue a master's degree that is not directly related to their previous education.</w:t>
      </w:r>
    </w:p>
    <w:p w:rsidR="0061520C" w:rsidRPr="007C20D9" w:rsidRDefault="0061520C">
      <w:pPr>
        <w:pStyle w:val="Plattetekst"/>
        <w:spacing w:before="95"/>
        <w:rPr>
          <w:lang w:val="en-GB"/>
        </w:rPr>
      </w:pPr>
    </w:p>
    <w:p w:rsidR="0061520C" w:rsidRPr="007C20D9" w:rsidRDefault="007C20D9">
      <w:pPr>
        <w:pStyle w:val="Kop3"/>
        <w:rPr>
          <w:lang w:val="en-GB"/>
        </w:rPr>
      </w:pPr>
      <w:r w:rsidRPr="007C20D9">
        <w:rPr>
          <w:color w:val="C52B2F"/>
          <w:spacing w:val="-2"/>
          <w:lang w:val="en-GB"/>
        </w:rPr>
        <w:t>Positi</w:t>
      </w:r>
      <w:r w:rsidRPr="007C20D9">
        <w:rPr>
          <w:color w:val="C52B2F"/>
          <w:spacing w:val="-2"/>
          <w:lang w:val="en-GB"/>
        </w:rPr>
        <w:t>on</w:t>
      </w:r>
    </w:p>
    <w:p w:rsidR="0061520C" w:rsidRPr="007C20D9" w:rsidRDefault="007C20D9">
      <w:pPr>
        <w:pStyle w:val="Plattetekst"/>
        <w:spacing w:before="91" w:line="336" w:lineRule="auto"/>
        <w:ind w:left="1275" w:right="1555"/>
        <w:rPr>
          <w:lang w:val="en-GB"/>
        </w:rPr>
      </w:pPr>
      <w:r w:rsidRPr="007C20D9">
        <w:rPr>
          <w:lang w:val="en-GB"/>
        </w:rPr>
        <w:t xml:space="preserve">Base education funding on </w:t>
      </w:r>
      <w:r w:rsidRPr="007C20D9">
        <w:rPr>
          <w:i/>
          <w:lang w:val="en-GB"/>
        </w:rPr>
        <w:t xml:space="preserve">all </w:t>
      </w:r>
      <w:r w:rsidRPr="007C20D9">
        <w:rPr>
          <w:lang w:val="en-GB"/>
        </w:rPr>
        <w:t>enrolled students. If there is insufficient growth in government funding, extend funding for the nominal duration of study by one year.</w:t>
      </w:r>
    </w:p>
    <w:p w:rsidR="0061520C" w:rsidRPr="007C20D9" w:rsidRDefault="0061520C">
      <w:pPr>
        <w:pStyle w:val="Plattetekst"/>
        <w:spacing w:before="92"/>
        <w:rPr>
          <w:lang w:val="en-GB"/>
        </w:rPr>
      </w:pPr>
    </w:p>
    <w:p w:rsidR="0061520C" w:rsidRPr="007C20D9" w:rsidRDefault="007C20D9">
      <w:pPr>
        <w:pStyle w:val="Kop2"/>
        <w:rPr>
          <w:lang w:val="en-GB"/>
        </w:rPr>
      </w:pPr>
      <w:r w:rsidRPr="007C20D9">
        <w:rPr>
          <w:color w:val="C52B2F"/>
          <w:spacing w:val="-2"/>
          <w:sz w:val="27"/>
          <w:lang w:val="en-GB"/>
        </w:rPr>
        <w:t>Diploma bonus</w:t>
      </w:r>
    </w:p>
    <w:p w:rsidR="0061520C" w:rsidRPr="007C20D9" w:rsidRDefault="007C20D9">
      <w:pPr>
        <w:pStyle w:val="Plattetekst"/>
        <w:spacing w:before="118" w:line="336" w:lineRule="auto"/>
        <w:ind w:left="1275" w:right="1392"/>
        <w:rPr>
          <w:lang w:val="en-GB"/>
        </w:rPr>
      </w:pPr>
      <w:r w:rsidRPr="007C20D9">
        <w:rPr>
          <w:lang w:val="en-GB"/>
        </w:rPr>
        <w:t>Approximately a quarter of the funding per student is paid out when the student successfully completes their studies. This creates a perverse incentive to give students who are struggling to graduate a 'pass mark'. The institution not only wants to get rid</w:t>
      </w:r>
      <w:r w:rsidRPr="007C20D9">
        <w:rPr>
          <w:lang w:val="en-GB"/>
        </w:rPr>
        <w:t xml:space="preserve"> of the student at some point, but also wants the student to leave with a diploma, because otherwise it will lose money.</w:t>
      </w:r>
    </w:p>
    <w:p w:rsidR="0061520C" w:rsidRPr="007C20D9" w:rsidRDefault="0061520C">
      <w:pPr>
        <w:pStyle w:val="Plattetekst"/>
        <w:spacing w:before="89"/>
        <w:rPr>
          <w:lang w:val="en-GB"/>
        </w:rPr>
      </w:pPr>
    </w:p>
    <w:p w:rsidR="0061520C" w:rsidRPr="007C20D9" w:rsidRDefault="007C20D9">
      <w:pPr>
        <w:pStyle w:val="Plattetekst"/>
        <w:spacing w:line="336" w:lineRule="auto"/>
        <w:ind w:left="1275" w:right="1480"/>
        <w:rPr>
          <w:lang w:val="en-GB"/>
        </w:rPr>
      </w:pPr>
      <w:r w:rsidRPr="007C20D9">
        <w:rPr>
          <w:lang w:val="en-GB"/>
        </w:rPr>
        <w:t>However, the education inspectorate has started to monitor the standard of final projects more strictly. The question is therefore how</w:t>
      </w:r>
      <w:r w:rsidRPr="007C20D9">
        <w:rPr>
          <w:lang w:val="en-GB"/>
        </w:rPr>
        <w:t xml:space="preserve"> big this problem still is and whether it should be tackled by changing the funding system. In addition, there is also an advantage for the student when the educational institution has an interest in ensuring that they actually graduate. This can motivate </w:t>
      </w:r>
      <w:r w:rsidRPr="007C20D9">
        <w:rPr>
          <w:lang w:val="en-GB"/>
        </w:rPr>
        <w:t>the institution to provide better supervision. As long as the inspectorate monitors quality, it is therefore desirable to retain the diploma bonus.</w:t>
      </w:r>
    </w:p>
    <w:p w:rsidR="0061520C" w:rsidRPr="007C20D9" w:rsidRDefault="0061520C">
      <w:pPr>
        <w:pStyle w:val="Plattetekst"/>
        <w:spacing w:before="94"/>
        <w:rPr>
          <w:lang w:val="en-GB"/>
        </w:rPr>
      </w:pPr>
    </w:p>
    <w:p w:rsidR="0061520C" w:rsidRPr="007C20D9" w:rsidRDefault="007C20D9">
      <w:pPr>
        <w:pStyle w:val="Kop3"/>
        <w:rPr>
          <w:lang w:val="en-GB"/>
        </w:rPr>
      </w:pPr>
      <w:r w:rsidRPr="007C20D9">
        <w:rPr>
          <w:color w:val="C52B2F"/>
          <w:spacing w:val="-2"/>
          <w:lang w:val="en-GB"/>
        </w:rPr>
        <w:t>Position</w:t>
      </w:r>
    </w:p>
    <w:p w:rsidR="0061520C" w:rsidRPr="007C20D9" w:rsidRDefault="007C20D9">
      <w:pPr>
        <w:pStyle w:val="Plattetekst"/>
        <w:spacing w:before="91"/>
        <w:ind w:left="1275"/>
        <w:rPr>
          <w:lang w:val="en-GB"/>
        </w:rPr>
      </w:pPr>
      <w:r w:rsidRPr="007C20D9">
        <w:rPr>
          <w:lang w:val="en-GB"/>
        </w:rPr>
        <w:t xml:space="preserve">Retain the </w:t>
      </w:r>
      <w:r w:rsidRPr="007C20D9">
        <w:rPr>
          <w:spacing w:val="-2"/>
          <w:lang w:val="en-GB"/>
        </w:rPr>
        <w:t>diploma bonus.</w:t>
      </w:r>
    </w:p>
    <w:p w:rsidR="0061520C" w:rsidRPr="007C20D9" w:rsidRDefault="0061520C">
      <w:pPr>
        <w:pStyle w:val="Plattetekst"/>
        <w:spacing w:before="185"/>
        <w:rPr>
          <w:lang w:val="en-GB"/>
        </w:rPr>
      </w:pPr>
    </w:p>
    <w:p w:rsidR="0061520C" w:rsidRPr="007C20D9" w:rsidRDefault="007C20D9">
      <w:pPr>
        <w:pStyle w:val="Kop2"/>
        <w:rPr>
          <w:lang w:val="en-GB"/>
        </w:rPr>
      </w:pPr>
      <w:r w:rsidRPr="007C20D9">
        <w:rPr>
          <w:color w:val="C52B2F"/>
          <w:spacing w:val="-2"/>
          <w:sz w:val="27"/>
          <w:lang w:val="en-GB"/>
        </w:rPr>
        <w:t>Position on the reference date for government funding</w:t>
      </w:r>
    </w:p>
    <w:p w:rsidR="0061520C" w:rsidRPr="007C20D9" w:rsidRDefault="007C20D9">
      <w:pPr>
        <w:pStyle w:val="Plattetekst"/>
        <w:spacing w:before="117" w:line="336" w:lineRule="auto"/>
        <w:ind w:left="1275" w:right="1434"/>
        <w:rPr>
          <w:lang w:val="en-GB"/>
        </w:rPr>
      </w:pPr>
      <w:r w:rsidRPr="007C20D9">
        <w:rPr>
          <w:lang w:val="en-GB"/>
        </w:rPr>
        <w:t>The amount of mon</w:t>
      </w:r>
      <w:r w:rsidRPr="007C20D9">
        <w:rPr>
          <w:lang w:val="en-GB"/>
        </w:rPr>
        <w:t xml:space="preserve">ey an institution receives in a given year is calculated on the basis of the figures from two academic years earlier (t-2). As a result, in the case of a growing study programme, there may be little money in relation to the current number of students. The </w:t>
      </w:r>
      <w:r w:rsidRPr="007C20D9">
        <w:rPr>
          <w:lang w:val="en-GB"/>
        </w:rPr>
        <w:t>calculation is also made on the basis of a single year. With fluctuating student numbers, this can lead to large annual fluctuations, while there are many fixed costs, such as lecturers and support staff and building capacity. However, the t-2 system is di</w:t>
      </w:r>
      <w:r w:rsidRPr="007C20D9">
        <w:rPr>
          <w:lang w:val="en-GB"/>
        </w:rPr>
        <w:t>fficult to adjust in practice. In addition, there are various factors that we propose in this paper that already mitigate the instability of the finances. We are therefore not proposing any adjustments.</w:t>
      </w:r>
    </w:p>
    <w:p w:rsidR="0061520C" w:rsidRPr="007C20D9" w:rsidRDefault="0061520C">
      <w:pPr>
        <w:pStyle w:val="Plattetekst"/>
        <w:spacing w:before="93"/>
        <w:rPr>
          <w:lang w:val="en-GB"/>
        </w:rPr>
      </w:pPr>
    </w:p>
    <w:p w:rsidR="0061520C" w:rsidRPr="007C20D9" w:rsidRDefault="007C20D9">
      <w:pPr>
        <w:pStyle w:val="Kop3"/>
        <w:rPr>
          <w:lang w:val="en-GB"/>
        </w:rPr>
      </w:pPr>
      <w:r w:rsidRPr="007C20D9">
        <w:rPr>
          <w:color w:val="C52B2F"/>
          <w:spacing w:val="-2"/>
          <w:lang w:val="en-GB"/>
        </w:rPr>
        <w:t>Position</w:t>
      </w:r>
    </w:p>
    <w:p w:rsidR="0061520C" w:rsidRPr="007C20D9" w:rsidRDefault="007C20D9">
      <w:pPr>
        <w:pStyle w:val="Plattetekst"/>
        <w:spacing w:before="91"/>
        <w:ind w:left="1275"/>
        <w:rPr>
          <w:lang w:val="en-GB"/>
        </w:rPr>
      </w:pPr>
      <w:r w:rsidRPr="007C20D9">
        <w:rPr>
          <w:lang w:val="en-GB"/>
        </w:rPr>
        <w:t xml:space="preserve">No adjustment to the t-2 </w:t>
      </w:r>
      <w:r w:rsidRPr="007C20D9">
        <w:rPr>
          <w:spacing w:val="-2"/>
          <w:lang w:val="en-GB"/>
        </w:rPr>
        <w:t>funding system.</w:t>
      </w:r>
    </w:p>
    <w:p w:rsidR="0061520C" w:rsidRPr="007C20D9" w:rsidRDefault="0061520C">
      <w:pPr>
        <w:pStyle w:val="Plattetekst"/>
        <w:spacing w:before="185"/>
        <w:rPr>
          <w:lang w:val="en-GB"/>
        </w:rPr>
      </w:pPr>
    </w:p>
    <w:p w:rsidR="0061520C" w:rsidRPr="007C20D9" w:rsidRDefault="007C20D9">
      <w:pPr>
        <w:pStyle w:val="Kop2"/>
        <w:rPr>
          <w:lang w:val="en-GB"/>
        </w:rPr>
      </w:pPr>
      <w:r w:rsidRPr="007C20D9">
        <w:rPr>
          <w:color w:val="C52B2F"/>
          <w:spacing w:val="-2"/>
          <w:sz w:val="27"/>
          <w:lang w:val="en-GB"/>
        </w:rPr>
        <w:t>F</w:t>
      </w:r>
      <w:r w:rsidRPr="007C20D9">
        <w:rPr>
          <w:color w:val="C52B2F"/>
          <w:spacing w:val="-2"/>
          <w:sz w:val="27"/>
          <w:lang w:val="en-GB"/>
        </w:rPr>
        <w:t>unding agreements</w:t>
      </w:r>
    </w:p>
    <w:p w:rsidR="0061520C" w:rsidRPr="007C20D9" w:rsidRDefault="007C20D9">
      <w:pPr>
        <w:pStyle w:val="Plattetekst"/>
        <w:spacing w:before="122" w:line="336" w:lineRule="auto"/>
        <w:ind w:left="1275" w:right="1555"/>
        <w:rPr>
          <w:lang w:val="en-GB"/>
        </w:rPr>
      </w:pPr>
      <w:r w:rsidRPr="007C20D9">
        <w:rPr>
          <w:lang w:val="en-GB"/>
        </w:rPr>
        <w:t>Students, teachers and support staff are closest to the reality of higher education and therefore know best what choices need to be made at their institution. The funding system must be in line with this reality. The government contributi</w:t>
      </w:r>
      <w:r w:rsidRPr="007C20D9">
        <w:rPr>
          <w:lang w:val="en-GB"/>
        </w:rPr>
        <w:t>on should therefore be entirely</w:t>
      </w:r>
    </w:p>
    <w:p w:rsidR="0061520C" w:rsidRPr="007C20D9" w:rsidRDefault="0061520C">
      <w:pPr>
        <w:pStyle w:val="Plattetekst"/>
        <w:spacing w:line="336" w:lineRule="auto"/>
        <w:rPr>
          <w:lang w:val="en-GB"/>
        </w:rPr>
        <w:sectPr w:rsidR="0061520C" w:rsidRPr="007C20D9">
          <w:pgSz w:w="11900" w:h="16840"/>
          <w:pgMar w:top="1340" w:right="141" w:bottom="280" w:left="141" w:header="708" w:footer="708" w:gutter="0"/>
          <w:cols w:space="708"/>
        </w:sectPr>
      </w:pPr>
    </w:p>
    <w:p w:rsidR="0061520C" w:rsidRPr="007C20D9" w:rsidRDefault="007C20D9">
      <w:pPr>
        <w:pStyle w:val="Plattetekst"/>
        <w:spacing w:before="75" w:line="336" w:lineRule="auto"/>
        <w:ind w:left="1275" w:right="1392"/>
        <w:rPr>
          <w:lang w:val="en-GB"/>
        </w:rPr>
      </w:pPr>
      <w:r w:rsidRPr="007C20D9">
        <w:rPr>
          <w:lang w:val="en-GB"/>
        </w:rPr>
        <w:lastRenderedPageBreak/>
        <w:t>lump sums must be paid out, after which the institutions and the employee participation bodies decide together what choices will be made.</w:t>
      </w:r>
    </w:p>
    <w:p w:rsidR="0061520C" w:rsidRPr="007C20D9" w:rsidRDefault="0061520C">
      <w:pPr>
        <w:pStyle w:val="Plattetekst"/>
        <w:spacing w:before="91"/>
        <w:rPr>
          <w:lang w:val="en-GB"/>
        </w:rPr>
      </w:pPr>
    </w:p>
    <w:p w:rsidR="0061520C" w:rsidRPr="007C20D9" w:rsidRDefault="007C20D9">
      <w:pPr>
        <w:pStyle w:val="Plattetekst"/>
        <w:spacing w:line="336" w:lineRule="auto"/>
        <w:ind w:left="1275" w:right="1313"/>
        <w:rPr>
          <w:lang w:val="en-GB"/>
        </w:rPr>
      </w:pPr>
      <w:r w:rsidRPr="007C20D9">
        <w:rPr>
          <w:lang w:val="en-GB"/>
        </w:rPr>
        <w:t xml:space="preserve">Funding agreements conflict with this approach. Such agreements set out conditions that institutions must meet. The danger here is that the agreements are seen as a checklist, with the focus on achieving certain targets without actually improving quality. </w:t>
      </w:r>
      <w:r w:rsidRPr="007C20D9">
        <w:rPr>
          <w:lang w:val="en-GB"/>
        </w:rPr>
        <w:t>In the past, such funding agreements (‘performance agreements’) have led to students being confined to their rooms, exam marks being cancelled and higher professional education lecturers enrolling in the easiest master's programme in the country. We are th</w:t>
      </w:r>
      <w:r w:rsidRPr="007C20D9">
        <w:rPr>
          <w:lang w:val="en-GB"/>
        </w:rPr>
        <w:t>erefore opposed to funding agreements.</w:t>
      </w:r>
    </w:p>
    <w:p w:rsidR="0061520C" w:rsidRPr="007C20D9" w:rsidRDefault="0061520C">
      <w:pPr>
        <w:pStyle w:val="Plattetekst"/>
        <w:spacing w:before="94"/>
        <w:rPr>
          <w:lang w:val="en-GB"/>
        </w:rPr>
      </w:pPr>
    </w:p>
    <w:p w:rsidR="0061520C" w:rsidRPr="007C20D9" w:rsidRDefault="007C20D9">
      <w:pPr>
        <w:pStyle w:val="Plattetekst"/>
        <w:spacing w:line="336" w:lineRule="auto"/>
        <w:ind w:left="1275" w:right="1138"/>
        <w:rPr>
          <w:lang w:val="en-GB"/>
        </w:rPr>
      </w:pPr>
      <w:r w:rsidRPr="007C20D9">
        <w:rPr>
          <w:lang w:val="en-GB"/>
        </w:rPr>
        <w:t>Agreements on funding can have added value in areas other than funding, including, but not limited to, student involvement in how the money is spent. If this is the case, the advantages must be weighed against the di</w:t>
      </w:r>
      <w:r w:rsidRPr="007C20D9">
        <w:rPr>
          <w:lang w:val="en-GB"/>
        </w:rPr>
        <w:t xml:space="preserve">sadvantages in order to decide whether the LSVb can accept funding agreements at that time. In principle, however, we are opposed to </w:t>
      </w:r>
      <w:r w:rsidRPr="007C20D9">
        <w:rPr>
          <w:spacing w:val="-2"/>
          <w:lang w:val="en-GB"/>
        </w:rPr>
        <w:t>funding agreements.</w:t>
      </w:r>
    </w:p>
    <w:p w:rsidR="0061520C" w:rsidRPr="007C20D9" w:rsidRDefault="0061520C">
      <w:pPr>
        <w:pStyle w:val="Plattetekst"/>
        <w:spacing w:before="94"/>
        <w:rPr>
          <w:lang w:val="en-GB"/>
        </w:rPr>
      </w:pPr>
    </w:p>
    <w:p w:rsidR="0061520C" w:rsidRPr="007C20D9" w:rsidRDefault="007C20D9">
      <w:pPr>
        <w:pStyle w:val="Kop3"/>
        <w:rPr>
          <w:lang w:val="en-GB"/>
        </w:rPr>
      </w:pPr>
      <w:r w:rsidRPr="007C20D9">
        <w:rPr>
          <w:color w:val="C52B2F"/>
          <w:spacing w:val="-2"/>
          <w:lang w:val="en-GB"/>
        </w:rPr>
        <w:t>Position</w:t>
      </w:r>
    </w:p>
    <w:p w:rsidR="0061520C" w:rsidRPr="007C20D9" w:rsidRDefault="007C20D9">
      <w:pPr>
        <w:pStyle w:val="Plattetekst"/>
        <w:spacing w:before="91" w:line="336" w:lineRule="auto"/>
        <w:ind w:left="1275" w:right="1313"/>
        <w:rPr>
          <w:lang w:val="en-GB"/>
        </w:rPr>
      </w:pPr>
      <w:r w:rsidRPr="007C20D9">
        <w:rPr>
          <w:lang w:val="en-GB"/>
        </w:rPr>
        <w:t xml:space="preserve">Distribute the government lump sum contribution, not through funding agreements, so that the </w:t>
      </w:r>
      <w:r w:rsidRPr="007C20D9">
        <w:rPr>
          <w:lang w:val="en-GB"/>
        </w:rPr>
        <w:t>representative advisory body has as much influence as possible on how the money is spent.</w:t>
      </w:r>
    </w:p>
    <w:p w:rsidR="0061520C" w:rsidRPr="007C20D9" w:rsidRDefault="0061520C">
      <w:pPr>
        <w:pStyle w:val="Plattetekst"/>
        <w:spacing w:line="336" w:lineRule="auto"/>
        <w:rPr>
          <w:lang w:val="en-GB"/>
        </w:rPr>
        <w:sectPr w:rsidR="0061520C" w:rsidRPr="007C20D9">
          <w:pgSz w:w="11900" w:h="16840"/>
          <w:pgMar w:top="1340" w:right="141" w:bottom="280" w:left="141" w:header="708" w:footer="708" w:gutter="0"/>
          <w:cols w:space="708"/>
        </w:sectPr>
      </w:pPr>
    </w:p>
    <w:p w:rsidR="0061520C" w:rsidRPr="007C20D9" w:rsidRDefault="007C20D9">
      <w:pPr>
        <w:pStyle w:val="Plattetekst"/>
        <w:rPr>
          <w:lang w:val="en-GB"/>
        </w:rPr>
      </w:pPr>
      <w:r>
        <w:rPr>
          <w:noProof/>
        </w:rPr>
        <w:lastRenderedPageBreak/>
        <w:drawing>
          <wp:anchor distT="0" distB="0" distL="0" distR="0" simplePos="0" relativeHeight="251659264" behindDoc="1" locked="0" layoutInCell="1" allowOverlap="1">
            <wp:simplePos x="0" y="0"/>
            <wp:positionH relativeFrom="page">
              <wp:posOffset>152400</wp:posOffset>
            </wp:positionH>
            <wp:positionV relativeFrom="page">
              <wp:posOffset>152399</wp:posOffset>
            </wp:positionV>
            <wp:extent cx="7251700" cy="10388600"/>
            <wp:effectExtent l="0" t="0" r="0" b="0"/>
            <wp:wrapNone/>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7251700" cy="10388600"/>
                    </a:xfrm>
                    <a:prstGeom prst="rect">
                      <a:avLst/>
                    </a:prstGeom>
                  </pic:spPr>
                </pic:pic>
              </a:graphicData>
            </a:graphic>
          </wp:anchor>
        </w:drawing>
      </w: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rPr>
          <w:lang w:val="en-GB"/>
        </w:rPr>
      </w:pPr>
    </w:p>
    <w:p w:rsidR="0061520C" w:rsidRPr="007C20D9" w:rsidRDefault="0061520C">
      <w:pPr>
        <w:pStyle w:val="Plattetekst"/>
        <w:spacing w:before="177"/>
        <w:rPr>
          <w:lang w:val="en-GB"/>
        </w:rPr>
      </w:pPr>
    </w:p>
    <w:tbl>
      <w:tblPr>
        <w:tblStyle w:val="TableNormal"/>
        <w:tblW w:w="0" w:type="auto"/>
        <w:tblInd w:w="618" w:type="dxa"/>
        <w:tblLayout w:type="fixed"/>
        <w:tblLook w:val="01E0" w:firstRow="1" w:lastRow="1" w:firstColumn="1" w:lastColumn="1" w:noHBand="0" w:noVBand="0"/>
      </w:tblPr>
      <w:tblGrid>
        <w:gridCol w:w="2971"/>
        <w:gridCol w:w="4167"/>
        <w:gridCol w:w="3251"/>
      </w:tblGrid>
      <w:tr w:rsidR="0061520C">
        <w:trPr>
          <w:trHeight w:val="328"/>
        </w:trPr>
        <w:tc>
          <w:tcPr>
            <w:tcW w:w="2971" w:type="dxa"/>
          </w:tcPr>
          <w:p w:rsidR="0061520C" w:rsidRDefault="007C20D9">
            <w:pPr>
              <w:pStyle w:val="TableParagraph"/>
              <w:spacing w:line="268" w:lineRule="exact"/>
              <w:ind w:left="50"/>
              <w:rPr>
                <w:b/>
                <w:sz w:val="24"/>
              </w:rPr>
            </w:pPr>
            <w:r>
              <w:rPr>
                <w:b/>
                <w:color w:val="FFFFFF"/>
                <w:spacing w:val="-2"/>
                <w:sz w:val="25"/>
              </w:rPr>
              <w:t>Postal address:</w:t>
            </w:r>
          </w:p>
        </w:tc>
        <w:tc>
          <w:tcPr>
            <w:tcW w:w="4167" w:type="dxa"/>
          </w:tcPr>
          <w:p w:rsidR="0061520C" w:rsidRDefault="007C20D9">
            <w:pPr>
              <w:pStyle w:val="TableParagraph"/>
              <w:spacing w:line="268" w:lineRule="exact"/>
              <w:ind w:left="22" w:right="1"/>
              <w:jc w:val="center"/>
              <w:rPr>
                <w:b/>
                <w:sz w:val="24"/>
              </w:rPr>
            </w:pPr>
            <w:r>
              <w:rPr>
                <w:b/>
                <w:color w:val="FFFFFF"/>
                <w:spacing w:val="-2"/>
                <w:sz w:val="25"/>
              </w:rPr>
              <w:t>Visiting address:</w:t>
            </w:r>
          </w:p>
        </w:tc>
        <w:tc>
          <w:tcPr>
            <w:tcW w:w="3251" w:type="dxa"/>
          </w:tcPr>
          <w:p w:rsidR="0061520C" w:rsidRDefault="007C20D9">
            <w:pPr>
              <w:pStyle w:val="TableParagraph"/>
              <w:spacing w:line="268" w:lineRule="exact"/>
              <w:ind w:right="52"/>
              <w:jc w:val="right"/>
              <w:rPr>
                <w:b/>
                <w:sz w:val="24"/>
              </w:rPr>
            </w:pPr>
            <w:r>
              <w:rPr>
                <w:b/>
                <w:color w:val="FFFFFF"/>
                <w:spacing w:val="-2"/>
                <w:sz w:val="25"/>
              </w:rPr>
              <w:t>Contact details:</w:t>
            </w:r>
          </w:p>
        </w:tc>
      </w:tr>
      <w:tr w:rsidR="0061520C">
        <w:trPr>
          <w:trHeight w:val="386"/>
        </w:trPr>
        <w:tc>
          <w:tcPr>
            <w:tcW w:w="2971" w:type="dxa"/>
          </w:tcPr>
          <w:p w:rsidR="0061520C" w:rsidRDefault="007C20D9">
            <w:pPr>
              <w:pStyle w:val="TableParagraph"/>
              <w:spacing w:before="52"/>
              <w:ind w:left="50"/>
              <w:rPr>
                <w:sz w:val="24"/>
              </w:rPr>
            </w:pPr>
            <w:r>
              <w:rPr>
                <w:color w:val="FFFFFF"/>
                <w:sz w:val="25"/>
              </w:rPr>
              <w:t>PO Box</w:t>
            </w:r>
            <w:r>
              <w:rPr>
                <w:color w:val="FFFFFF"/>
                <w:spacing w:val="-4"/>
                <w:sz w:val="25"/>
              </w:rPr>
              <w:t xml:space="preserve"> 1335</w:t>
            </w:r>
          </w:p>
        </w:tc>
        <w:tc>
          <w:tcPr>
            <w:tcW w:w="4167" w:type="dxa"/>
          </w:tcPr>
          <w:p w:rsidR="0061520C" w:rsidRDefault="007C20D9">
            <w:pPr>
              <w:pStyle w:val="TableParagraph"/>
              <w:spacing w:before="52"/>
              <w:ind w:left="22"/>
              <w:jc w:val="center"/>
              <w:rPr>
                <w:sz w:val="24"/>
              </w:rPr>
            </w:pPr>
            <w:r>
              <w:rPr>
                <w:color w:val="FFFFFF"/>
                <w:sz w:val="25"/>
              </w:rPr>
              <w:t>Drieharingstraat</w:t>
            </w:r>
            <w:r>
              <w:rPr>
                <w:color w:val="FFFFFF"/>
                <w:spacing w:val="-10"/>
                <w:sz w:val="25"/>
              </w:rPr>
              <w:t xml:space="preserve"> 6</w:t>
            </w:r>
          </w:p>
        </w:tc>
        <w:tc>
          <w:tcPr>
            <w:tcW w:w="3251" w:type="dxa"/>
          </w:tcPr>
          <w:p w:rsidR="0061520C" w:rsidRDefault="007C20D9">
            <w:pPr>
              <w:pStyle w:val="TableParagraph"/>
              <w:spacing w:before="52"/>
              <w:ind w:right="50"/>
              <w:jc w:val="right"/>
              <w:rPr>
                <w:sz w:val="24"/>
              </w:rPr>
            </w:pPr>
            <w:r>
              <w:rPr>
                <w:color w:val="FFFFFF"/>
                <w:sz w:val="25"/>
              </w:rPr>
              <w:t>030 231</w:t>
            </w:r>
            <w:r>
              <w:rPr>
                <w:color w:val="FFFFFF"/>
                <w:spacing w:val="-4"/>
                <w:sz w:val="25"/>
              </w:rPr>
              <w:t xml:space="preserve"> 6464</w:t>
            </w:r>
          </w:p>
        </w:tc>
      </w:tr>
      <w:tr w:rsidR="0061520C">
        <w:trPr>
          <w:trHeight w:val="326"/>
        </w:trPr>
        <w:tc>
          <w:tcPr>
            <w:tcW w:w="2971" w:type="dxa"/>
          </w:tcPr>
          <w:p w:rsidR="0061520C" w:rsidRDefault="007C20D9">
            <w:pPr>
              <w:pStyle w:val="TableParagraph"/>
              <w:spacing w:before="50" w:line="256" w:lineRule="exact"/>
              <w:ind w:left="50"/>
              <w:rPr>
                <w:sz w:val="24"/>
              </w:rPr>
            </w:pPr>
            <w:r>
              <w:rPr>
                <w:color w:val="FFFFFF"/>
                <w:sz w:val="25"/>
              </w:rPr>
              <w:t xml:space="preserve">3500 BH </w:t>
            </w:r>
            <w:r>
              <w:rPr>
                <w:color w:val="FFFFFF"/>
                <w:spacing w:val="-2"/>
                <w:sz w:val="25"/>
              </w:rPr>
              <w:t>Utrecht</w:t>
            </w:r>
          </w:p>
        </w:tc>
        <w:tc>
          <w:tcPr>
            <w:tcW w:w="4167" w:type="dxa"/>
          </w:tcPr>
          <w:p w:rsidR="0061520C" w:rsidRDefault="007C20D9">
            <w:pPr>
              <w:pStyle w:val="TableParagraph"/>
              <w:spacing w:before="50" w:line="256" w:lineRule="exact"/>
              <w:ind w:left="22" w:right="5"/>
              <w:jc w:val="center"/>
              <w:rPr>
                <w:sz w:val="24"/>
              </w:rPr>
            </w:pPr>
            <w:r>
              <w:rPr>
                <w:color w:val="FFFFFF"/>
                <w:sz w:val="25"/>
              </w:rPr>
              <w:t xml:space="preserve">3511 BJ </w:t>
            </w:r>
            <w:r>
              <w:rPr>
                <w:color w:val="FFFFFF"/>
                <w:spacing w:val="-2"/>
                <w:sz w:val="25"/>
              </w:rPr>
              <w:t>Utrecht</w:t>
            </w:r>
          </w:p>
        </w:tc>
        <w:tc>
          <w:tcPr>
            <w:tcW w:w="3251" w:type="dxa"/>
          </w:tcPr>
          <w:p w:rsidR="0061520C" w:rsidRDefault="007C20D9">
            <w:pPr>
              <w:pStyle w:val="TableParagraph"/>
              <w:spacing w:before="50" w:line="256" w:lineRule="exact"/>
              <w:ind w:right="50"/>
              <w:jc w:val="right"/>
              <w:rPr>
                <w:sz w:val="24"/>
              </w:rPr>
            </w:pPr>
            <w:hyperlink r:id="rId11">
              <w:r>
                <w:rPr>
                  <w:color w:val="FFFFFF"/>
                  <w:spacing w:val="-2"/>
                  <w:sz w:val="25"/>
                </w:rPr>
                <w:t>Lsvb@lsvb.nl</w:t>
              </w:r>
            </w:hyperlink>
          </w:p>
        </w:tc>
      </w:tr>
    </w:tbl>
    <w:p w:rsidR="0061520C" w:rsidRDefault="0061520C"/>
    <w:sectPr w:rsidR="0061520C">
      <w:pgSz w:w="11900" w:h="16840"/>
      <w:pgMar w:top="240" w:right="141" w:bottom="0" w:left="14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20C"/>
    <w:rsid w:val="0061520C"/>
    <w:rsid w:val="007C20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2810E"/>
  <w15:docId w15:val="{2CBC1E07-4A6B-4DDE-8B85-B36173D87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uiPriority w:val="1"/>
    <w:qFormat/>
    <w:rPr>
      <w:rFonts w:ascii="Arial" w:eastAsia="Arial" w:hAnsi="Arial" w:cs="Arial"/>
      <w:lang w:val="nl-NL"/>
    </w:rPr>
  </w:style>
  <w:style w:type="paragraph" w:styleId="Kop1">
    <w:name w:val="heading 1"/>
    <w:basedOn w:val="Standaard"/>
    <w:uiPriority w:val="1"/>
    <w:qFormat/>
    <w:pPr>
      <w:ind w:left="1275" w:right="1555"/>
      <w:outlineLvl w:val="0"/>
    </w:pPr>
    <w:rPr>
      <w:b/>
      <w:bCs/>
      <w:sz w:val="72"/>
      <w:szCs w:val="72"/>
    </w:rPr>
  </w:style>
  <w:style w:type="paragraph" w:styleId="Kop2">
    <w:name w:val="heading 2"/>
    <w:basedOn w:val="Standaard"/>
    <w:uiPriority w:val="1"/>
    <w:qFormat/>
    <w:pPr>
      <w:ind w:left="1275"/>
      <w:outlineLvl w:val="1"/>
    </w:pPr>
    <w:rPr>
      <w:b/>
      <w:bCs/>
      <w:sz w:val="26"/>
      <w:szCs w:val="26"/>
    </w:rPr>
  </w:style>
  <w:style w:type="paragraph" w:styleId="Kop3">
    <w:name w:val="heading 3"/>
    <w:basedOn w:val="Standaard"/>
    <w:uiPriority w:val="1"/>
    <w:qFormat/>
    <w:pPr>
      <w:spacing w:before="1"/>
      <w:ind w:left="1275"/>
      <w:outlineLvl w:val="2"/>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0"/>
      <w:szCs w:val="20"/>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lsvb@lsvb.n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mailto:Lsvb@lsvb.nl" TargetMode="External"/><Relationship Id="rId5" Type="http://schemas.openxmlformats.org/officeDocument/2006/relationships/image" Target="media/image2.jpeg"/><Relationship Id="rId10" Type="http://schemas.openxmlformats.org/officeDocument/2006/relationships/image" Target="media/image5.png"/><Relationship Id="rId4" Type="http://schemas.openxmlformats.org/officeDocument/2006/relationships/image" Target="media/image1.png"/><Relationship Id="rId9" Type="http://schemas.openxmlformats.org/officeDocument/2006/relationships/hyperlink" Target="https://www.vsnu.nl/dalende-rijksbijdrag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2483</Words>
  <Characters>13658</Characters>
  <Application>Microsoft Office Word</Application>
  <DocSecurity>0</DocSecurity>
  <Lines>113</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LSVb</dc:creator>
  <cp:keywords>, docId:DE3E2F1C5B9A9546A50074647E021F49</cp:keywords>
  <cp:lastModifiedBy>LSVb</cp:lastModifiedBy>
  <cp:revision>2</cp:revision>
  <dcterms:created xsi:type="dcterms:W3CDTF">2026-02-17T10:49:00Z</dcterms:created>
  <dcterms:modified xsi:type="dcterms:W3CDTF">2026-02-17T10:49:00Z</dcterms:modified>
</cp:coreProperties>
</file>