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media/image2.png" ContentType="image/png"/>
  <Override PartName="/word/media/image3.png" ContentType="image/png"/>
  <Override PartName="/word/media/image1.png" ContentType="image/png"/>
  <Override PartName="/word/fontTable.xml" ContentType="application/vnd.openxmlformats-officedocument.wordprocessingml.fontTable+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2.xml" ContentType="application/vnd.openxmlformats-officedocument.wordprocessingml.footer+xml"/>
  <Override PartName="/word/footer1.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rPr>
      </w:pPr>
      <w:r>
        <w:rPr>
          <w:b/>
          <w:bCs/>
        </w:rPr>
        <w:drawing>
          <wp:anchor distT="0" distB="0" distL="0" distR="114300" simplePos="0" relativeHeight="22" behindDoc="0" locked="0" layoutInCell="0" allowOverlap="1">
            <wp:simplePos x="0" y="0"/>
            <wp:positionH relativeFrom="margin">
              <wp:align>left</wp:align>
            </wp:positionH>
            <wp:positionV relativeFrom="paragraph">
              <wp:posOffset>635</wp:posOffset>
            </wp:positionV>
            <wp:extent cx="4145280" cy="2484120"/>
            <wp:effectExtent l="0" t="0" r="0" b="0"/>
            <wp:wrapTopAndBottom/>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2"/>
                    <a:stretch>
                      <a:fillRect/>
                    </a:stretch>
                  </pic:blipFill>
                  <pic:spPr bwMode="auto">
                    <a:xfrm>
                      <a:off x="0" y="0"/>
                      <a:ext cx="4145280" cy="2484120"/>
                    </a:xfrm>
                    <a:prstGeom prst="rect">
                      <a:avLst/>
                    </a:prstGeom>
                  </pic:spPr>
                </pic:pic>
              </a:graphicData>
            </a:graphic>
          </wp:anchor>
        </w:drawing>
      </w:r>
      <w:bookmarkStart w:name="__RefHeading___Toc765_494178889_Copy_1" w:id="0"/>
      <w:bookmarkStart w:name="__DdeLink__720_4002885955" w:id="1"/>
      <w:bookmarkStart w:name="__RefHeading___Toc765_494178889_Copy_1" w:id="2"/>
      <w:bookmarkStart w:name="__DdeLink__720_4002885955" w:id="3"/>
      <w:bookmarkEnd w:id="2"/>
      <w:bookmarkEnd w:id="3"/>
    </w:p>
    <w:p>
      <w:pPr>
        <w:pStyle w:val="Heading1"/>
        <w:numPr>
          <w:ilvl w:val="0"/>
          <w:numId w:val="1"/>
        </w:numPr>
        <w:rPr>
          <w:lang w:val="nl-NL"/>
        </w:rPr>
      </w:pPr>
      <w:bookmarkStart w:name="__RefHeading___Toc556_3664237150" w:id="4"/>
      <w:bookmarkEnd w:id="4"/>
      <w:r>
        <w:rPr>
          <w:rFonts w:ascii="Arial" w:hAnsi="Arial"/>
          <w:color w:val="CC0814"/>
          <w:sz w:val="72"/>
          <w:szCs w:val="72"/>
        </w:rPr>
        <w:tab/>
      </w:r>
      <w:r>
        <w:rPr>
          <w:rFonts w:ascii="Arial" w:hAnsi="Arial"/>
          <w:color w:val="CC0814"/>
          <w:sz w:val="72"/>
          <w:szCs w:val="72"/>
        </w:rPr>
        <w:t xml:space="preserve">Housing Vision</w:t>
      </w:r>
      <w:r>
        <w:rPr>
          <w:rFonts w:ascii="Arial" w:hAnsi="Arial"/>
          <w:color w:val="CC0814"/>
          <w:sz w:val="72"/>
          <w:szCs w:val="72"/>
          <w:lang w:val="nl-NL"/>
        </w:rPr>
        <w:t xml:space="preserve"> </w:t>
      </w:r>
    </w:p>
    <w:p>
      <w:pPr>
        <w:pStyle w:val="Subtitle"/>
        <w:rPr/>
      </w:pPr>
      <w:r>
        <w:rPr/>
        <w:t xml:space="preserve">April 2026 Edition</w:t>
      </w:r>
    </w:p>
    <w:p>
      <w:pPr>
        <w:pStyle w:val="Subtitle"/>
        <w:rPr/>
      </w:pPr>
      <w:bookmarkStart w:name="__DdeLink__37_1582056016" w:id="5"/>
      <w:bookmarkEnd w:id="5"/>
      <w:r>
        <w:rPr/>
        <w:drawing>
          <wp:anchor distT="0" distB="0" distL="114300" distR="114300" simplePos="0" relativeHeight="23" behindDoc="0" locked="0" layoutInCell="0" allowOverlap="1">
            <wp:simplePos x="0" y="0"/>
            <wp:positionH relativeFrom="column">
              <wp:posOffset>3187700</wp:posOffset>
            </wp:positionH>
            <wp:positionV relativeFrom="paragraph">
              <wp:posOffset>2508885</wp:posOffset>
            </wp:positionV>
            <wp:extent cx="3992880" cy="2423160"/>
            <wp:effectExtent l="0" t="0" r="0" b="0"/>
            <wp:wrapTopAndBottom/>
            <wp:docPr id="2" name="Picture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5" descr=""/>
                    <pic:cNvPicPr>
                      <a:picLocks noChangeAspect="1" noChangeArrowheads="1"/>
                    </pic:cNvPicPr>
                  </pic:nvPicPr>
                  <pic:blipFill>
                    <a:blip r:embed="rId3"/>
                    <a:stretch>
                      <a:fillRect/>
                    </a:stretch>
                  </pic:blipFill>
                  <pic:spPr bwMode="auto">
                    <a:xfrm>
                      <a:off x="0" y="0"/>
                      <a:ext cx="3992880" cy="2423160"/>
                    </a:xfrm>
                    <a:prstGeom prst="rect">
                      <a:avLst/>
                    </a:prstGeom>
                  </pic:spPr>
                </pic:pic>
              </a:graphicData>
            </a:graphic>
          </wp:anchor>
        </w:drawing>
      </w:r>
      <w:r>
        <w:rPr/>
        <w:drawing>
          <wp:inline distT="0" distB="0" distL="0" distR="0">
            <wp:extent cx="1996440" cy="1112520"/>
            <wp:effectExtent l="0" t="0" r="0" b="0"/>
            <wp:docPr id="3" name="Pictur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4" descr=""/>
                    <pic:cNvPicPr>
                      <a:picLocks noChangeAspect="1" noChangeArrowheads="1"/>
                    </pic:cNvPicPr>
                  </pic:nvPicPr>
                  <pic:blipFill>
                    <a:blip r:embed="rId4"/>
                    <a:stretch>
                      <a:fillRect/>
                    </a:stretch>
                  </pic:blipFill>
                  <pic:spPr bwMode="auto">
                    <a:xfrm>
                      <a:off x="0" y="0"/>
                      <a:ext cx="1996440" cy="1112520"/>
                    </a:xfrm>
                    <a:prstGeom prst="rect">
                      <a:avLst/>
                    </a:prstGeom>
                  </pic:spPr>
                </pic:pic>
              </a:graphicData>
            </a:graphic>
          </wp:inline>
        </w:drawing>
      </w:r>
      <w:r>
        <w:br w:type="page"/>
      </w: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bookmarkStart w:name="__DdeLink__720_4002885955_Copy_1" w:id="6"/>
      <w:bookmarkStart w:name="__DdeLink__720_4002885955_Copy_1" w:id="7"/>
      <w:bookmarkEnd w:id="7"/>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bookmarkStart w:name="__DdeLink__724_4002885955" w:id="8"/>
      <w:bookmarkStart w:name="__DdeLink__724_4002885955" w:id="9"/>
      <w:bookmarkEnd w:id="9"/>
    </w:p>
    <w:p>
      <w:pPr>
        <w:pStyle w:val="Normal"/>
        <w:spacing w:before="0" w:after="0"/>
        <w:rPr>
          <w:rFonts w:ascii="Open Sans" w:hAnsi="Open Sans" w:cs="Open Sans"/>
          <w:color w:val="000000"/>
          <w:sz w:val="22"/>
          <w:szCs w:val="22"/>
        </w:rPr>
      </w:pPr>
      <w:r>
        <w:rPr>
          <w:rFonts w:ascii="Open Sans" w:hAnsi="Open Sans" w:cs="Open Sans"/>
          <w:color w:val="000000"/>
          <w:sz w:val="22"/>
          <w:szCs w:val="22"/>
        </w:rPr>
        <mc:AlternateContent>
          <mc:Choice Requires="wps">
            <w:drawing>
              <wp:anchor distT="635" distB="635" distL="1270" distR="0" simplePos="0" relativeHeight="24" behindDoc="1" locked="0" layoutInCell="1" allowOverlap="1">
                <wp:simplePos x="0" y="0"/>
                <wp:positionH relativeFrom="column">
                  <wp:posOffset>-720090</wp:posOffset>
                </wp:positionH>
                <wp:positionV relativeFrom="paragraph">
                  <wp:posOffset>-1871980</wp:posOffset>
                </wp:positionV>
                <wp:extent cx="7771765" cy="10096500"/>
                <wp:effectExtent l="1270" t="635" r="0" b="635"/>
                <wp:wrapNone/>
                <wp:docPr id="4" name="Shape 1"/>
                <a:graphic xmlns:a="http://schemas.openxmlformats.org/drawingml/2006/main">
                  <a:graphicData uri="http://schemas.microsoft.com/office/word/2010/wordprocessingShape">
                    <wps:wsp>
                      <wps:cNvSpPr/>
                      <wps:spPr>
                        <a:xfrm>
                          <a:off x="0" y="0"/>
                          <a:ext cx="7771680" cy="10096560"/>
                        </a:xfrm>
                        <a:prstGeom prst="rect">
                          <a:avLst/>
                        </a:prstGeom>
                        <a:solidFill>
                          <a:srgbClr val="cc0814"/>
                        </a:solidFill>
                        <a:ln w="0">
                          <a:solidFill>
                            <a:srgbClr val="cc0814"/>
                          </a:solidFill>
                        </a:ln>
                      </wps:spPr>
                      <wps:style>
                        <a:lnRef idx="0"/>
                        <a:fillRef idx="0"/>
                        <a:effectRef idx="0"/>
                        <a:fontRef idx="minor"/>
                      </wps:style>
                      <wps:bodyPr/>
                    </wps:wsp>
                  </a:graphicData>
                </a:graphic>
              </wp:anchor>
            </w:drawing>
          </mc:Choice>
          <mc:Fallback>
            <w:pict>
              <v:rect id="shape_0" style="position:absolute;margin-left:-56.7pt;margin-top:-147.4pt;width:611.9pt;height:794.95pt;mso-wrap-style:none;v-text-anchor:middle" o:allowincell="f" fillcolor="#cc0814" stroked="t" ID="Shape 1" path="m0,0l-2147483645,0l-2147483645,-2147483646l0,-2147483646xe">
                <v:fill type="solid" color2="#33f7eb" o:detectmouseclick="t"/>
                <v:stroke color="#cc0814" joinstyle="round" endcap="flat"/>
                <w10:wrap type="none"/>
              </v:rect>
            </w:pict>
          </mc:Fallback>
        </mc:AlternateContent>
      </w: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rFonts w:ascii="Open Sans" w:hAnsi="Open Sans" w:cs="Open Sans"/>
          <w:color w:val="000000"/>
          <w:sz w:val="22"/>
          <w:szCs w:val="22"/>
        </w:rPr>
      </w:pPr>
    </w:p>
    <w:p>
      <w:pPr>
        <w:pStyle w:val="Normal"/>
        <w:spacing w:before="0" w:after="0"/>
        <w:rPr>
          <w:color w:val="FFFFFF"/>
        </w:rPr>
      </w:pPr>
      <w:r>
        <w:rPr>
          <w:rFonts w:ascii="Open Sans" w:hAnsi="Open Sans" w:cs="Open Sans"/>
          <w:color w:val="FFFFFF"/>
          <w:sz w:val="22"/>
          <w:szCs w:val="22"/>
        </w:rPr>
        <w:t xml:space="preserve">This is a publication of the National Student Union (LSVb). For questions or additional information, please email: lsvb@lsvb.nl</w:t>
      </w:r>
    </w:p>
    <w:p>
      <w:pPr>
        <w:pStyle w:val="Normal"/>
        <w:rPr>
          <w:rFonts w:ascii="Open Sans" w:hAnsi="Open Sans" w:cs="Open Sans"/>
          <w:color w:val="FFFFFF"/>
        </w:rPr>
      </w:pPr>
    </w:p>
    <w:p>
      <w:pPr>
        <w:pStyle w:val="Normal"/>
        <w:rPr>
          <w:rFonts w:ascii="Open Sans" w:hAnsi="Open Sans" w:cs="Open Sans"/>
          <w:color w:val="FFFFFF"/>
        </w:rPr>
      </w:pPr>
      <w:bookmarkStart w:name="__DdeLink__724_4002885955_Copy_1" w:id="10"/>
      <w:bookmarkStart w:name="__DdeLink__724_4002885955_Copy_1" w:id="11"/>
      <w:bookmarkEnd w:id="11"/>
    </w:p>
    <w:p>
      <w:pPr>
        <w:pStyle w:val="Normal"/>
        <w:ind w:start="1410" w:end="0" w:hanging="1410"/>
        <w:rPr>
          <w:color w:val="FFFFFF"/>
        </w:rPr>
      </w:pPr>
      <w:bookmarkStart w:name="__DdeLink__729_2762301364" w:id="12"/>
      <w:r>
        <mc:AlternateContent>
          <mc:Choice Requires="wps">
            <w:drawing>
              <wp:anchor distT="0" distB="0" distL="0" distR="0" simplePos="0" relativeHeight="25" behindDoc="0" locked="0" layoutInCell="1" allowOverlap="1">
                <wp:simplePos x="0" y="0"/>
                <wp:positionH relativeFrom="column">
                  <wp:posOffset>1905635</wp:posOffset>
                </wp:positionH>
                <wp:positionV relativeFrom="paragraph">
                  <wp:posOffset>75565</wp:posOffset>
                </wp:positionV>
                <wp:extent cx="2160270" cy="5818505"/>
                <wp:effectExtent l="0" t="0" r="0" b="0"/>
                <wp:wrapNone/>
                <wp:docPr id="5" name="Text Frame 1"/>
                <a:graphic xmlns:a="http://schemas.openxmlformats.org/drawingml/2006/main">
                  <a:graphicData uri="http://schemas.microsoft.com/office/word/2010/wordprocessingShape">
                    <wps:wsp>
                      <wps:cNvSpPr/>
                      <wps:spPr>
                        <a:xfrm>
                          <a:off x="0" y="0"/>
                          <a:ext cx="2160360" cy="5818680"/>
                        </a:xfrm>
                        <a:prstGeom prst="rect">
                          <a:avLst/>
                        </a:prstGeom>
                        <a:noFill/>
                        <a:ln w="0">
                          <a:noFill/>
                        </a:ln>
                      </wps:spPr>
                      <wps:style>
                        <a:lnRef idx="0"/>
                        <a:fillRef idx="0"/>
                        <a:effectRef idx="0"/>
                        <a:fontRef idx="minor"/>
                      </wps:style>
                      <wps:txbx>
                        <w:txbxContent>
                          <w:p>
                            <w:pPr>
                              <w:pStyle w:val="FrameContents"/>
                              <w:rPr/>
                            </w:pPr>
                          </w:p>
                        </w:txbxContent>
                      </wps:txbx>
                      <wps:bodyPr lIns="0" tIns="0" rIns="0" bIns="0" anchor="t">
                        <a:noAutofit/>
                      </wps:bodyPr>
                    </wps:wsp>
                  </a:graphicData>
                </a:graphic>
              </wp:anchor>
            </w:drawing>
          </mc:Choice>
          <mc:Fallback>
            <w:pict>
              <v:rect id="shape_0" style="position:absolute;margin-left:150.05pt;margin-top:5.95pt;width:170.05pt;height:458.1pt;mso-wrap-style:none;v-text-anchor:middle" o:allowincell="f" stroked="f" ID="Text Frame 1" path="m0,0l-2147483645,0l-2147483645,-2147483646l0,-2147483646xe">
                <v:fill on="false" o:detectmouseclick="t"/>
                <v:stroke color="#3465a4" joinstyle="round" endcap="flat"/>
                <v:textbox>
                  <w:txbxContent>
                    <w:p>
                      <w:pPr>
                        <w:pStyle w:val="FrameContents"/>
                        <w:rPr/>
                      </w:pPr>
                    </w:p>
                  </w:txbxContent>
                </v:textbox>
                <w10:wrap type="none"/>
              </v:rect>
            </w:pict>
          </mc:Fallback>
        </mc:AlternateContent>
      </w:r>
      <w:r>
        <w:rPr>
          <w:rFonts w:ascii="Open Sans" w:hAnsi="Open Sans" w:cs="Open Sans"/>
          <w:color w:val="FFFFFF"/>
        </w:rPr>
        <w:t xml:space="preserve">A</w:t>
      </w:r>
      <w:bookmarkStart w:name="__DdeLink__726_4002885955" w:id="13"/>
      <w:r>
        <w:rPr>
          <w:rFonts w:ascii="Open Sans" w:hAnsi="Open Sans" w:cs="Open Sans"/>
          <w:color w:val="FFFFFF"/>
        </w:rPr>
        <w:t xml:space="preserve"> :</w:t>
      </w:r>
      <w:r>
        <w:rPr>
          <w:rFonts w:ascii="Open Sans" w:hAnsi="Open Sans" w:cs="Open Sans"/>
          <w:color w:val="FFFFFF"/>
        </w:rPr>
        <w:tab/>
      </w:r>
      <w:r>
        <w:rPr>
          <w:rFonts w:ascii="open sans" w:hAnsi="open sans" w:cs="Open Sans"/>
          <w:color w:val="FFFFFF"/>
          <w:sz w:val="22"/>
          <w:szCs w:val="22"/>
        </w:rPr>
        <w:t xml:space="preserve">Ellen Ootes</w:t>
      </w:r>
    </w:p>
    <w:p>
      <w:pPr>
        <w:pStyle w:val="Normal"/>
        <w:ind w:start="1410" w:end="0" w:hanging="1410"/>
        <w:rPr>
          <w:color w:val="FFFFFF"/>
        </w:rPr>
      </w:pPr>
      <w:r>
        <w:rPr>
          <w:rFonts w:ascii="open sans" w:hAnsi="open sans" w:cs="Open Sans"/>
          <w:color w:val="FFFFFF"/>
          <w:sz w:val="22"/>
          <w:szCs w:val="22"/>
        </w:rPr>
        <w:tab/>
      </w:r>
      <w:r>
        <w:rPr>
          <w:rFonts w:ascii="open sans" w:hAnsi="open sans"/>
          <w:color w:val="FFFFFF"/>
          <w:sz w:val="22"/>
          <w:szCs w:val="22"/>
        </w:rPr>
        <w:t xml:space="preserve">Pieter ten Broeke</w:t>
      </w:r>
      <w:r>
        <w:rPr>
          <w:rFonts w:ascii="open sans" w:hAnsi="open sans" w:cs="Open Sans"/>
          <w:color w:val="FFFFFF"/>
          <w:sz w:val="22"/>
          <w:szCs w:val="22"/>
        </w:rPr>
        <w:tab/>
      </w:r>
      <w:r>
        <w:rPr>
          <w:rFonts w:ascii="open sans" w:hAnsi="open sans" w:cs="Open Sans"/>
          <w:color w:val="FFFFFF"/>
          <w:sz w:val="22"/>
          <w:szCs w:val="22"/>
        </w:rPr>
        <w:br/>
      </w:r>
      <w:r>
        <w:rPr>
          <w:rFonts w:ascii="open sans" w:hAnsi="open sans" w:cs="Open Sans"/>
          <w:color w:val="FFFFFF"/>
          <w:sz w:val="22"/>
          <w:szCs w:val="22"/>
        </w:rPr>
        <w:t xml:space="preserve">Sara Spano</w:t>
      </w:r>
    </w:p>
    <w:p>
      <w:pPr>
        <w:pStyle w:val="Normal"/>
        <w:ind w:start="1410" w:end="0" w:hanging="1410"/>
        <w:rPr>
          <w:color w:val="FFFFFF"/>
        </w:rPr>
      </w:pPr>
      <w:r>
        <w:rPr>
          <w:rFonts w:ascii="open sans" w:hAnsi="open sans" w:cs="Open Sans"/>
          <w:color w:val="FFFFFF"/>
          <w:sz w:val="22"/>
          <w:szCs w:val="22"/>
        </w:rPr>
        <w:tab/>
      </w:r>
      <w:r>
        <w:rPr>
          <w:rFonts w:ascii="open sans" w:hAnsi="open sans"/>
          <w:color w:val="FFFFFF"/>
          <w:sz w:val="22"/>
          <w:szCs w:val="22"/>
        </w:rPr>
        <w:t xml:space="preserve">Teun Otte, Housing Policy Officer 2025-2026</w:t>
      </w:r>
    </w:p>
    <w:p>
      <w:pPr>
        <w:pStyle w:val="Normal"/>
        <w:ind w:start="1410" w:end="0" w:hanging="1410"/>
        <w:rPr>
          <w:color w:val="FFFFFF"/>
        </w:rPr>
      </w:pPr>
      <w:r>
        <w:rPr>
          <w:rFonts w:ascii="open sans" w:hAnsi="open sans"/>
          <w:color w:val="FFFFFF"/>
          <w:sz w:val="22"/>
          <w:szCs w:val="22"/>
        </w:rPr>
        <w:tab/>
      </w:r>
      <w:r>
        <w:rPr>
          <w:rFonts w:ascii="open sans" w:hAnsi="open sans"/>
          <w:color w:val="FFFFFF"/>
          <w:sz w:val="22"/>
          <w:szCs w:val="22"/>
        </w:rPr>
        <w:t xml:space="preserve">Enora Segeren, General Board Member 2025-2026</w:t>
      </w:r>
    </w:p>
    <w:p>
      <w:pPr>
        <w:pStyle w:val="Normal"/>
        <w:ind w:start="1410" w:end="0" w:hanging="1410"/>
        <w:rPr>
          <w:rFonts w:ascii="Open Sans" w:hAnsi="Open Sans" w:cs="Open Sans"/>
          <w:color w:val="FFFFFF"/>
        </w:rPr>
      </w:pPr>
    </w:p>
    <w:p>
      <w:pPr>
        <w:pStyle w:val="Normal"/>
        <w:rPr>
          <w:color w:val="FFFFFF"/>
        </w:rPr>
      </w:pPr>
      <w:r>
        <w:rPr>
          <w:rFonts w:ascii="Open Sans" w:hAnsi="Open Sans" w:cs="Open Sans"/>
          <w:color w:val="FFFFFF"/>
        </w:rPr>
        <w:tab/>
      </w:r>
      <w:r>
        <w:rPr>
          <w:rFonts w:ascii="Open Sans" w:hAnsi="Open Sans" w:cs="Open Sans"/>
          <w:color w:val="FFFFFF"/>
        </w:rPr>
        <w:tab/>
      </w:r>
    </w:p>
    <w:p>
      <w:pPr>
        <w:pStyle w:val="Normal"/>
        <w:rPr>
          <w:rFonts w:ascii="Open Sans" w:hAnsi="Open Sans" w:cs="Open Sans"/>
          <w:color w:val="FFFFFF"/>
        </w:rPr>
      </w:pPr>
    </w:p>
    <w:p>
      <w:pPr>
        <w:pStyle w:val="Normal"/>
        <w:rPr>
          <w:color w:val="FFFFFF"/>
        </w:rPr>
      </w:pPr>
      <w:r>
        <w:rPr>
          <w:rFonts w:ascii="Open Sans" w:hAnsi="Open Sans" w:cs="Open Sans"/>
          <w:color w:val="FFFFFF"/>
          <w:sz w:val="22"/>
          <w:szCs w:val="22"/>
        </w:rPr>
        <w:t xml:space="preserve">National Student Union</w:t>
      </w:r>
      <w:r>
        <w:rPr>
          <w:rFonts w:ascii="Open Sans" w:hAnsi="Open Sans" w:cs="Open Sans"/>
          <w:color w:val="FFFFFF"/>
          <w:sz w:val="22"/>
          <w:szCs w:val="22"/>
        </w:rPr>
        <w:tab/>
      </w:r>
      <w:r>
        <w:rPr>
          <w:rFonts w:ascii="Open Sans" w:hAnsi="Open Sans" w:cs="Open Sans"/>
          <w:color w:val="FFFFFF"/>
          <w:sz w:val="22"/>
          <w:szCs w:val="22"/>
        </w:rPr>
        <w:tab/>
      </w:r>
      <w:r>
        <w:rPr>
          <w:rFonts w:ascii="Open Sans" w:hAnsi="Open Sans" w:cs="Open Sans"/>
          <w:color w:val="FFFFFF"/>
          <w:sz w:val="22"/>
          <w:szCs w:val="22"/>
        </w:rPr>
        <w:tab/>
      </w:r>
      <w:r>
        <w:rPr>
          <w:rFonts w:ascii="Open Sans" w:hAnsi="Open Sans" w:cs="Open Sans"/>
          <w:color w:val="FFFFFF"/>
          <w:sz w:val="22"/>
          <w:szCs w:val="22"/>
        </w:rPr>
        <w:tab/>
      </w:r>
    </w:p>
    <w:p>
      <w:pPr>
        <w:pStyle w:val="Normal"/>
        <w:ind w:start="1416" w:end="0" w:hanging="1416"/>
        <w:rPr>
          <w:color w:val="FFFFFF"/>
        </w:rPr>
      </w:pPr>
      <w:r>
        <w:rPr>
          <w:rFonts w:ascii="Open Sans" w:hAnsi="Open Sans" w:cs="Open Sans"/>
          <w:color w:val="FFFFFF"/>
          <w:sz w:val="22"/>
          <w:szCs w:val="22"/>
        </w:rPr>
        <w:t xml:space="preserve">P.O. Box 1335</w:t>
      </w:r>
      <w:r>
        <w:rPr>
          <w:rFonts w:ascii="Open Sans" w:hAnsi="Open Sans" w:cs="Open Sans"/>
          <w:color w:val="FFFFFF"/>
          <w:sz w:val="22"/>
          <w:szCs w:val="22"/>
        </w:rPr>
        <w:tab/>
      </w:r>
      <w:r>
        <w:rPr>
          <w:rFonts w:ascii="Open Sans" w:hAnsi="Open Sans" w:cs="Open Sans"/>
          <w:color w:val="FFFFFF"/>
          <w:sz w:val="22"/>
          <w:szCs w:val="22"/>
        </w:rPr>
        <w:tab/>
      </w:r>
      <w:r>
        <w:rPr>
          <w:rFonts w:ascii="Open Sans" w:hAnsi="Open Sans" w:cs="Open Sans"/>
          <w:color w:val="FFFFFF"/>
          <w:sz w:val="22"/>
          <w:szCs w:val="22"/>
        </w:rPr>
        <w:tab/>
      </w:r>
      <w:r>
        <w:rPr>
          <w:rFonts w:ascii="Open Sans" w:hAnsi="Open Sans" w:cs="Open Sans"/>
          <w:color w:val="FFFFFF"/>
          <w:sz w:val="22"/>
          <w:szCs w:val="22"/>
        </w:rPr>
        <w:tab/>
      </w:r>
      <w:r>
        <w:rPr>
          <w:rFonts w:ascii="Open Sans" w:hAnsi="Open Sans" w:cs="Open Sans"/>
          <w:color w:val="FFFFFF"/>
          <w:sz w:val="22"/>
          <w:szCs w:val="22"/>
        </w:rPr>
        <w:tab/>
      </w:r>
      <w:r>
        <w:rPr>
          <w:rFonts w:ascii="Open Sans" w:hAnsi="Open Sans" w:cs="Open Sans"/>
          <w:color w:val="FFFFFF"/>
          <w:sz w:val="22"/>
          <w:szCs w:val="22"/>
        </w:rPr>
        <w:tab/>
      </w:r>
    </w:p>
    <w:p>
      <w:pPr>
        <w:pStyle w:val="Normal"/>
        <w:rPr>
          <w:color w:val="FFFFFF"/>
        </w:rPr>
      </w:pPr>
      <w:bookmarkStart w:name="__DdeLink__729_2762301364" w:id="14"/>
      <w:bookmarkStart w:name="__DdeLink__722_4002885955" w:id="15"/>
      <w:r>
        <w:rPr>
          <w:rFonts w:ascii="Open Sans" w:hAnsi="Open Sans" w:cs="Open Sans"/>
          <w:color w:val="FFFFFF"/>
          <w:sz w:val="22"/>
          <w:szCs w:val="22"/>
        </w:rPr>
        <w:t xml:space="preserve">3500 BH Utrecht</w:t>
      </w:r>
      <w:bookmarkEnd w:id="14"/>
      <w:bookmarkEnd w:id="13"/>
      <w:bookmarkEnd w:id="15"/>
    </w:p>
    <w:sdt>
      <w:sdtPr>
        <w:docPartObj>
          <w:docPartGallery w:val="Table of Contents"/>
          <w:docPartUnique w:val="true"/>
        </w:docPartObj>
      </w:sdtPr>
      <w:sdtContent>
        <w:p>
          <w:pPr>
            <w:pStyle w:val="TOCHeading"/>
            <w:numPr>
              <w:ilvl w:val="0"/>
              <w:numId w:val="1"/>
            </w:numPr>
            <w:spacing w:before="0" w:after="120"/>
            <w:rPr>
              <w:color w:val="CC0814"/>
            </w:rPr>
          </w:pPr>
          <w:r>
            <w:br w:type="page"/>
          </w:r>
          <w:r>
            <w:rPr>
              <w:color w:val="CC0814"/>
            </w:rPr>
            <w:t xml:space="preserve">Table of Contents</w:t>
          </w:r>
        </w:p>
        <w:p>
          <w:pPr>
            <w:pStyle w:val="TOC1"/>
            <w:tabs>
              <w:tab w:val="clear" w:pos="1134"/>
              <w:tab w:val="right" w:leader="dot" w:pos="9972"/>
            </w:tabs>
            <w:rPr/>
          </w:pPr>
          <w:r>
            <w:fldChar w:fldCharType="begin"/>
          </w:r>
          <w:r>
            <w:rPr>
              <w:rStyle w:val="IndexLink"/>
            </w:rPr>
            <w:instrText xml:space="preserve"> TOC \f \o "1-9" \h</w:instrText>
          </w:r>
          <w:r>
            <w:rPr>
              <w:rStyle w:val="IndexLink"/>
            </w:rPr>
            <w:fldChar w:fldCharType="separate"/>
          </w:r>
          <w:hyperlink w:anchor="__RefHeading___Toc556_3664237150">
            <w:r>
              <w:rPr>
                <w:rStyle w:val="IndexLink"/>
              </w:rPr>
              <w:t xml:space="preserve"> </w:t>
            </w:r>
            <w:r>
              <w:rPr>
                <w:rStyle w:val="IndexLink"/>
              </w:rPr>
              <w:t xml:space="preserve">Housing Vision</w:t>
            </w:r>
            <w:r>
              <w:rPr>
                <w:rStyle w:val="IndexLink"/>
              </w:rPr>
              <w:tab/>
            </w:r>
            <w:r>
              <w:rPr>
                <w:rStyle w:val="IndexLink"/>
              </w:rPr>
              <w:t>0</w:t>
            </w:r>
          </w:hyperlink>
        </w:p>
        <w:p>
          <w:pPr>
            <w:pStyle w:val="TOC2"/>
            <w:tabs>
              <w:tab w:val="clear" w:pos="1134"/>
              <w:tab w:val="right" w:leader="dot" w:pos="9972"/>
            </w:tabs>
            <w:rPr/>
          </w:pPr>
          <w:hyperlink w:anchor="__RefHeading___Toc558_3664237150">
            <w:r>
              <w:rPr>
                <w:rStyle w:val="IndexLink"/>
              </w:rPr>
              <w:t xml:space="preserve">Introduction</w:t>
            </w:r>
            <w:r>
              <w:rPr>
                <w:rStyle w:val="IndexLink"/>
              </w:rPr>
              <w:tab/>
            </w:r>
            <w:r>
              <w:rPr>
                <w:rStyle w:val="IndexLink"/>
              </w:rPr>
              <w:t>4</w:t>
            </w:r>
          </w:hyperlink>
        </w:p>
        <w:p>
          <w:pPr>
            <w:pStyle w:val="TOC3"/>
            <w:tabs>
              <w:tab w:val="clear" w:pos="1134"/>
              <w:tab w:val="right" w:leader="dot" w:pos="9972"/>
            </w:tabs>
            <w:rPr/>
          </w:pPr>
          <w:hyperlink w:anchor="__RefHeading___Toc560_3664237150">
            <w:r>
              <w:rPr>
                <w:rStyle w:val="IndexLink"/>
              </w:rPr>
              <w:t xml:space="preserve">Development of this vision</w:t>
            </w:r>
            <w:r>
              <w:rPr>
                <w:rStyle w:val="IndexLink"/>
              </w:rPr>
              <w:tab/>
            </w:r>
            <w:r>
              <w:rPr>
                <w:rStyle w:val="IndexLink"/>
              </w:rPr>
              <w:t>4</w:t>
            </w:r>
          </w:hyperlink>
        </w:p>
        <w:p>
          <w:pPr>
            <w:pStyle w:val="TOC3"/>
            <w:tabs>
              <w:tab w:val="clear" w:pos="1134"/>
              <w:tab w:val="right" w:leader="dot" w:pos="9972"/>
            </w:tabs>
            <w:rPr/>
          </w:pPr>
          <w:hyperlink w:anchor="__RefHeading___Toc771_494178889">
            <w:r>
              <w:rPr>
                <w:rStyle w:val="IndexLink"/>
              </w:rPr>
              <w:t xml:space="preserve">The Netherlands is facing a housing crisis</w:t>
            </w:r>
            <w:r>
              <w:rPr>
                <w:rStyle w:val="IndexLink"/>
              </w:rPr>
              <w:tab/>
            </w:r>
            <w:r>
              <w:rPr>
                <w:rStyle w:val="IndexLink"/>
              </w:rPr>
              <w:t>4</w:t>
            </w:r>
          </w:hyperlink>
        </w:p>
        <w:p>
          <w:pPr>
            <w:pStyle w:val="TOC2"/>
            <w:tabs>
              <w:tab w:val="clear" w:pos="1134"/>
              <w:tab w:val="right" w:leader="dot" w:pos="9972"/>
            </w:tabs>
            <w:rPr/>
          </w:pPr>
          <w:hyperlink w:anchor="__RefHeading___Toc562_3664237150">
            <w:r>
              <w:rPr>
                <w:rStyle w:val="IndexLink"/>
              </w:rPr>
              <w:t xml:space="preserve">Quantity</w:t>
            </w:r>
            <w:r>
              <w:rPr>
                <w:rStyle w:val="IndexLink"/>
              </w:rPr>
              <w:tab/>
            </w:r>
            <w:r>
              <w:rPr>
                <w:rStyle w:val="IndexLink"/>
              </w:rPr>
              <w:t>6</w:t>
            </w:r>
          </w:hyperlink>
        </w:p>
        <w:p>
          <w:pPr>
            <w:pStyle w:val="TOC3"/>
            <w:tabs>
              <w:tab w:val="clear" w:pos="1134"/>
              <w:tab w:val="right" w:leader="dot" w:pos="9972"/>
            </w:tabs>
            <w:rPr/>
          </w:pPr>
          <w:hyperlink w:anchor="__RefHeading___Toc564_3664237150">
            <w:r>
              <w:rPr>
                <w:rStyle w:val="IndexLink"/>
              </w:rPr>
              <w:t xml:space="preserve">A room guarantee for every student who wants one, in the city where they study.</w:t>
            </w:r>
            <w:r>
              <w:rPr>
                <w:rStyle w:val="IndexLink"/>
              </w:rPr>
              <w:tab/>
            </w:r>
            <w:r>
              <w:rPr>
                <w:rStyle w:val="IndexLink"/>
              </w:rPr>
              <w:t>6</w:t>
            </w:r>
          </w:hyperlink>
        </w:p>
        <w:p>
          <w:pPr>
            <w:pStyle w:val="TOC3"/>
            <w:tabs>
              <w:tab w:val="clear" w:pos="1134"/>
              <w:tab w:val="right" w:leader="dot" w:pos="9972"/>
            </w:tabs>
            <w:rPr/>
          </w:pPr>
          <w:hyperlink w:anchor="__RefHeading___Toc777_494178889">
            <w:r>
              <w:rPr>
                <w:rStyle w:val="IndexLink"/>
              </w:rPr>
              <w:t xml:space="preserve">On-campus housing: provide educational institutions with space for student housing.</w:t>
            </w:r>
            <w:r>
              <w:rPr>
                <w:rStyle w:val="IndexLink"/>
              </w:rPr>
              <w:tab/>
            </w:r>
            <w:r>
              <w:rPr>
                <w:rStyle w:val="IndexLink"/>
              </w:rPr>
              <w:t>7</w:t>
            </w:r>
          </w:hyperlink>
        </w:p>
        <w:p>
          <w:pPr>
            <w:pStyle w:val="TOC3"/>
            <w:tabs>
              <w:tab w:val="clear" w:pos="1134"/>
              <w:tab w:val="right" w:leader="dot" w:pos="9972"/>
            </w:tabs>
            <w:rPr/>
          </w:pPr>
          <w:hyperlink w:anchor="__RefHeading___Toc566_3664237150">
            <w:r>
              <w:rPr>
                <w:rStyle w:val="IndexLink"/>
                <w:i w:val="false"/>
              </w:rPr>
              <w:t xml:space="preserve">Social housing on public land</w:t>
            </w:r>
            <w:r>
              <w:rPr>
                <w:rStyle w:val="IndexLink"/>
              </w:rPr>
              <w:tab/>
            </w:r>
            <w:r>
              <w:rPr>
                <w:rStyle w:val="IndexLink"/>
              </w:rPr>
              <w:t>7</w:t>
            </w:r>
          </w:hyperlink>
        </w:p>
        <w:p>
          <w:pPr>
            <w:pStyle w:val="TOC3"/>
            <w:tabs>
              <w:tab w:val="clear" w:pos="1134"/>
              <w:tab w:val="right" w:leader="dot" w:pos="9972"/>
            </w:tabs>
            <w:rPr/>
          </w:pPr>
          <w:hyperlink w:anchor="__RefHeading___Toc781_494178889">
            <w:r>
              <w:rPr>
                <w:rStyle w:val="IndexLink"/>
              </w:rPr>
              <w:t xml:space="preserve">No vacancies during a housing crisis </w:t>
            </w:r>
            <w:r>
              <w:rPr>
                <w:rStyle w:val="IndexLink"/>
              </w:rPr>
              <w:tab/>
            </w:r>
            <w:r>
              <w:rPr>
                <w:rStyle w:val="IndexLink"/>
              </w:rPr>
              <w:t>7</w:t>
            </w:r>
          </w:hyperlink>
        </w:p>
        <w:p>
          <w:pPr>
            <w:pStyle w:val="TOC2"/>
            <w:tabs>
              <w:tab w:val="clear" w:pos="1134"/>
              <w:tab w:val="right" w:leader="dot" w:pos="9972"/>
            </w:tabs>
            <w:rPr/>
          </w:pPr>
          <w:hyperlink w:anchor="__RefHeading___Toc568_3664237150">
            <w:r>
              <w:rPr>
                <w:rStyle w:val="IndexLink"/>
              </w:rPr>
              <w:t xml:space="preserve">Affordability</w:t>
            </w:r>
            <w:r>
              <w:rPr>
                <w:rStyle w:val="IndexLink"/>
              </w:rPr>
              <w:tab/>
            </w:r>
            <w:r>
              <w:rPr>
                <w:rStyle w:val="IndexLink"/>
              </w:rPr>
              <w:t>9</w:t>
            </w:r>
          </w:hyperlink>
        </w:p>
        <w:p>
          <w:pPr>
            <w:pStyle w:val="TOC3"/>
            <w:tabs>
              <w:tab w:val="clear" w:pos="1134"/>
              <w:tab w:val="right" w:leader="dot" w:pos="9972"/>
            </w:tabs>
            <w:rPr/>
          </w:pPr>
          <w:hyperlink w:anchor="__RefHeading___Toc570_3664237150">
            <w:r>
              <w:rPr>
                <w:rStyle w:val="IndexLink"/>
              </w:rPr>
              <w:t xml:space="preserve">Cheaper shared rooms are a priority</w:t>
            </w:r>
            <w:r>
              <w:rPr>
                <w:rStyle w:val="IndexLink"/>
              </w:rPr>
              <w:tab/>
            </w:r>
            <w:r>
              <w:rPr>
                <w:rStyle w:val="IndexLink"/>
              </w:rPr>
              <w:t>9</w:t>
            </w:r>
          </w:hyperlink>
        </w:p>
        <w:p>
          <w:pPr>
            <w:pStyle w:val="TOC3"/>
            <w:tabs>
              <w:tab w:val="clear" w:pos="1134"/>
              <w:tab w:val="right" w:leader="dot" w:pos="9972"/>
            </w:tabs>
            <w:rPr/>
          </w:pPr>
          <w:hyperlink w:anchor="__RefHeading___Toc572_3664237150">
            <w:r>
              <w:rPr>
                <w:rStyle w:val="IndexLink"/>
              </w:rPr>
              <w:t xml:space="preserve">Housing cost assistance regardless of housing type and age</w:t>
            </w:r>
            <w:r>
              <w:rPr>
                <w:rStyle w:val="IndexLink"/>
              </w:rPr>
              <w:tab/>
            </w:r>
            <w:r>
              <w:rPr>
                <w:rStyle w:val="IndexLink"/>
              </w:rPr>
              <w:t>9</w:t>
            </w:r>
          </w:hyperlink>
        </w:p>
        <w:p>
          <w:pPr>
            <w:pStyle w:val="TOC3"/>
            <w:tabs>
              <w:tab w:val="clear" w:pos="1134"/>
              <w:tab w:val="right" w:leader="dot" w:pos="9972"/>
            </w:tabs>
            <w:rPr/>
          </w:pPr>
          <w:hyperlink w:anchor="__RefHeading___Toc789_494178889">
            <w:r>
              <w:rPr>
                <w:rStyle w:val="IndexLink"/>
              </w:rPr>
              <w:t xml:space="preserve">All student rooms and housing are subject to the points system</w:t>
            </w:r>
            <w:r>
              <w:rPr>
                <w:rStyle w:val="IndexLink"/>
              </w:rPr>
              <w:tab/>
            </w:r>
            <w:r>
              <w:rPr>
                <w:rStyle w:val="IndexLink"/>
              </w:rPr>
              <w:t>9</w:t>
            </w:r>
          </w:hyperlink>
        </w:p>
        <w:p>
          <w:pPr>
            <w:pStyle w:val="TOC3"/>
            <w:tabs>
              <w:tab w:val="clear" w:pos="1134"/>
              <w:tab w:val="right" w:leader="dot" w:pos="9972"/>
            </w:tabs>
            <w:rPr/>
          </w:pPr>
          <w:hyperlink w:anchor="__RefHeading___Toc791_494178889">
            <w:r>
              <w:rPr>
                <w:rStyle w:val="IndexLink"/>
              </w:rPr>
              <w:t xml:space="preserve">A fair price for every room</w:t>
            </w:r>
            <w:r>
              <w:rPr>
                <w:rStyle w:val="IndexLink"/>
              </w:rPr>
              <w:tab/>
            </w:r>
            <w:r>
              <w:rPr>
                <w:rStyle w:val="IndexLink"/>
              </w:rPr>
              <w:t>10</w:t>
            </w:r>
          </w:hyperlink>
        </w:p>
        <w:p>
          <w:pPr>
            <w:pStyle w:val="TOC2"/>
            <w:tabs>
              <w:tab w:val="clear" w:pos="1134"/>
              <w:tab w:val="right" w:leader="dot" w:pos="9972"/>
            </w:tabs>
            <w:rPr/>
          </w:pPr>
          <w:hyperlink w:anchor="__RefHeading___Toc793_494178889">
            <w:r>
              <w:rPr>
                <w:rStyle w:val="IndexLink"/>
              </w:rPr>
              <w:t xml:space="preserve">Well-being and quality </w:t>
            </w:r>
            <w:r>
              <w:rPr>
                <w:rStyle w:val="IndexLink"/>
              </w:rPr>
              <w:tab/>
            </w:r>
            <w:r>
              <w:rPr>
                <w:rStyle w:val="IndexLink"/>
              </w:rPr>
              <w:t>11</w:t>
            </w:r>
          </w:hyperlink>
        </w:p>
        <w:p>
          <w:pPr>
            <w:pStyle w:val="TOC3"/>
            <w:tabs>
              <w:tab w:val="clear" w:pos="1134"/>
              <w:tab w:val="right" w:leader="dot" w:pos="9972"/>
            </w:tabs>
            <w:rPr/>
          </w:pPr>
          <w:hyperlink w:anchor="__RefHeading___Toc795_494178889">
            <w:r>
              <w:rPr>
                <w:rStyle w:val="IndexLink"/>
              </w:rPr>
              <w:t xml:space="preserve">Limit the imposition of quality regulations</w:t>
            </w:r>
            <w:r>
              <w:rPr>
                <w:rStyle w:val="IndexLink"/>
              </w:rPr>
              <w:tab/>
            </w:r>
            <w:r>
              <w:rPr>
                <w:rStyle w:val="IndexLink"/>
              </w:rPr>
              <w:t>11</w:t>
            </w:r>
          </w:hyperlink>
        </w:p>
        <w:p>
          <w:pPr>
            <w:pStyle w:val="TOC3"/>
            <w:tabs>
              <w:tab w:val="clear" w:pos="1134"/>
              <w:tab w:val="right" w:leader="dot" w:pos="9972"/>
            </w:tabs>
            <w:rPr/>
          </w:pPr>
          <w:hyperlink w:anchor="__RefHeading___Toc797_494178889">
            <w:r>
              <w:rPr>
                <w:rStyle w:val="IndexLink"/>
              </w:rPr>
              <w:t xml:space="preserve">No rent increases for additional amenities</w:t>
            </w:r>
            <w:r>
              <w:rPr>
                <w:rStyle w:val="IndexLink"/>
              </w:rPr>
              <w:tab/>
            </w:r>
            <w:r>
              <w:rPr>
                <w:rStyle w:val="IndexLink"/>
              </w:rPr>
              <w:t>11</w:t>
            </w:r>
          </w:hyperlink>
        </w:p>
        <w:p>
          <w:pPr>
            <w:pStyle w:val="TOC3"/>
            <w:tabs>
              <w:tab w:val="clear" w:pos="1134"/>
              <w:tab w:val="right" w:leader="dot" w:pos="9972"/>
            </w:tabs>
            <w:rPr/>
          </w:pPr>
          <w:hyperlink w:anchor="__RefHeading___Toc799_494178889">
            <w:r>
              <w:rPr>
                <w:rStyle w:val="IndexLink"/>
              </w:rPr>
              <w:t xml:space="preserve">Accessibility</w:t>
            </w:r>
            <w:r>
              <w:rPr>
                <w:rStyle w:val="IndexLink"/>
              </w:rPr>
              <w:tab/>
            </w:r>
            <w:r>
              <w:rPr>
                <w:rStyle w:val="IndexLink"/>
              </w:rPr>
              <w:t>11</w:t>
            </w:r>
          </w:hyperlink>
        </w:p>
        <w:p>
          <w:pPr>
            <w:pStyle w:val="TOC3"/>
            <w:tabs>
              <w:tab w:val="clear" w:pos="1134"/>
              <w:tab w:val="right" w:leader="dot" w:pos="9972"/>
            </w:tabs>
            <w:rPr/>
          </w:pPr>
          <w:hyperlink w:anchor="__RefHeading___Toc801_494178889">
            <w:r>
              <w:rPr>
                <w:rStyle w:val="IndexLink"/>
              </w:rPr>
              <w:t xml:space="preserve">Sustainability</w:t>
            </w:r>
            <w:r>
              <w:rPr>
                <w:rStyle w:val="IndexLink"/>
              </w:rPr>
              <w:tab/>
            </w:r>
            <w:r>
              <w:rPr>
                <w:rStyle w:val="IndexLink"/>
              </w:rPr>
              <w:t>11</w:t>
            </w:r>
          </w:hyperlink>
        </w:p>
        <w:p>
          <w:pPr>
            <w:pStyle w:val="TOC3"/>
            <w:tabs>
              <w:tab w:val="clear" w:pos="1134"/>
              <w:tab w:val="right" w:leader="dot" w:pos="9972"/>
            </w:tabs>
            <w:rPr/>
          </w:pPr>
          <w:hyperlink w:anchor="__RefHeading___Toc803_494178889">
            <w:r>
              <w:rPr>
                <w:rStyle w:val="IndexLink"/>
              </w:rPr>
              <w:t xml:space="preserve">Community</w:t>
            </w:r>
            <w:r>
              <w:rPr>
                <w:rStyle w:val="IndexLink"/>
              </w:rPr>
              <w:tab/>
            </w:r>
            <w:r>
              <w:rPr>
                <w:rStyle w:val="IndexLink"/>
              </w:rPr>
              <w:t>12</w:t>
            </w:r>
          </w:hyperlink>
        </w:p>
        <w:p>
          <w:pPr>
            <w:pStyle w:val="TOC3"/>
            <w:tabs>
              <w:tab w:val="clear" w:pos="1134"/>
              <w:tab w:val="right" w:leader="dot" w:pos="9972"/>
            </w:tabs>
            <w:rPr/>
          </w:pPr>
          <w:hyperlink w:anchor="__RefHeading___Toc805_494178889">
            <w:r>
              <w:rPr>
                <w:rStyle w:val="IndexLink"/>
              </w:rPr>
              <w:t xml:space="preserve">Connection to the city </w:t>
            </w:r>
            <w:r>
              <w:rPr>
                <w:rStyle w:val="IndexLink"/>
              </w:rPr>
              <w:tab/>
            </w:r>
            <w:r>
              <w:rPr>
                <w:rStyle w:val="IndexLink"/>
              </w:rPr>
              <w:t>12</w:t>
            </w:r>
          </w:hyperlink>
        </w:p>
        <w:p>
          <w:pPr>
            <w:pStyle w:val="TOC2"/>
            <w:tabs>
              <w:tab w:val="clear" w:pos="1134"/>
              <w:tab w:val="right" w:leader="dot" w:pos="9972"/>
            </w:tabs>
            <w:rPr/>
          </w:pPr>
          <w:hyperlink w:anchor="__RefHeading___Toc807_494178889">
            <w:r>
              <w:rPr>
                <w:rStyle w:val="IndexLink"/>
              </w:rPr>
              <w:t xml:space="preserve">Legal status and decision-making power</w:t>
            </w:r>
            <w:r>
              <w:rPr>
                <w:rStyle w:val="IndexLink"/>
              </w:rPr>
              <w:tab/>
            </w:r>
            <w:r>
              <w:rPr>
                <w:rStyle w:val="IndexLink"/>
              </w:rPr>
              <w:t>13</w:t>
            </w:r>
          </w:hyperlink>
        </w:p>
        <w:p>
          <w:pPr>
            <w:pStyle w:val="TOC3"/>
            <w:tabs>
              <w:tab w:val="clear" w:pos="1134"/>
              <w:tab w:val="right" w:leader="dot" w:pos="9972"/>
            </w:tabs>
            <w:rPr/>
          </w:pPr>
          <w:hyperlink w:anchor="__RefHeading___Toc809_494178889">
            <w:r>
              <w:rPr>
                <w:rStyle w:val="IndexLink"/>
              </w:rPr>
              <w:t xml:space="preserve">Responsibility for enforcing regulations should not rest solely with students</w:t>
            </w:r>
            <w:r>
              <w:rPr>
                <w:rStyle w:val="IndexLink"/>
              </w:rPr>
              <w:tab/>
            </w:r>
            <w:r>
              <w:rPr>
                <w:rStyle w:val="IndexLink"/>
              </w:rPr>
              <w:t>13</w:t>
            </w:r>
          </w:hyperlink>
        </w:p>
        <w:p>
          <w:pPr>
            <w:pStyle w:val="TOC3"/>
            <w:tabs>
              <w:tab w:val="clear" w:pos="1134"/>
              <w:tab w:val="right" w:leader="dot" w:pos="9972"/>
            </w:tabs>
            <w:rPr/>
          </w:pPr>
          <w:hyperlink w:anchor="__RefHeading___Toc811_494178889">
            <w:r>
              <w:rPr>
                <w:rStyle w:val="IndexLink"/>
              </w:rPr>
              <w:t xml:space="preserve">Our homes, our choices! Give student tenants a say</w:t>
            </w:r>
            <w:r>
              <w:rPr>
                <w:rStyle w:val="IndexLink"/>
              </w:rPr>
              <w:tab/>
            </w:r>
            <w:r>
              <w:rPr>
                <w:rStyle w:val="IndexLink"/>
              </w:rPr>
              <w:t>13</w:t>
            </w:r>
          </w:hyperlink>
        </w:p>
        <w:p>
          <w:pPr>
            <w:pStyle w:val="TOC2"/>
            <w:tabs>
              <w:tab w:val="clear" w:pos="1134"/>
              <w:tab w:val="right" w:leader="dot" w:pos="9972"/>
            </w:tabs>
            <w:rPr/>
          </w:pPr>
          <w:hyperlink w:anchor="__RefHeading___Toc813_494178889">
            <w:r>
              <w:rPr>
                <w:rStyle w:val="IndexLink"/>
              </w:rPr>
              <w:t xml:space="preserve">Flexibility</w:t>
            </w:r>
            <w:r>
              <w:rPr>
                <w:rStyle w:val="IndexLink"/>
              </w:rPr>
              <w:tab/>
            </w:r>
            <w:r>
              <w:rPr>
                <w:rStyle w:val="IndexLink"/>
              </w:rPr>
              <w:t>14</w:t>
            </w:r>
          </w:hyperlink>
        </w:p>
        <w:p>
          <w:pPr>
            <w:pStyle w:val="TOC3"/>
            <w:tabs>
              <w:tab w:val="clear" w:pos="1134"/>
              <w:tab w:val="right" w:leader="dot" w:pos="9972"/>
            </w:tabs>
            <w:rPr/>
          </w:pPr>
          <w:hyperlink w:anchor="__RefHeading___Toc815_494178889">
            <w:r>
              <w:rPr>
                <w:rStyle w:val="IndexLink"/>
              </w:rPr>
              <w:t xml:space="preserve">No short-stay or temporary contracts that limit students’ freedom of choice</w:t>
            </w:r>
            <w:r>
              <w:rPr>
                <w:rStyle w:val="IndexLink"/>
              </w:rPr>
              <w:tab/>
            </w:r>
            <w:r>
              <w:rPr>
                <w:rStyle w:val="IndexLink"/>
              </w:rPr>
              <w:t>14</w:t>
            </w:r>
          </w:hyperlink>
        </w:p>
        <w:p>
          <w:pPr>
            <w:pStyle w:val="TOC2"/>
            <w:tabs>
              <w:tab w:val="clear" w:pos="1134"/>
              <w:tab w:val="right" w:leader="dot" w:pos="9972"/>
            </w:tabs>
            <w:rPr/>
          </w:pPr>
          <w:hyperlink w:anchor="__RefHeading___Toc817_494178889">
            <w:r>
              <w:rPr>
                <w:rStyle w:val="IndexLink"/>
              </w:rPr>
              <w:t xml:space="preserve">Housing allocation</w:t>
            </w:r>
            <w:r>
              <w:rPr>
                <w:rStyle w:val="IndexLink"/>
              </w:rPr>
              <w:tab/>
            </w:r>
            <w:r>
              <w:rPr>
                <w:rStyle w:val="IndexLink"/>
              </w:rPr>
              <w:t>15</w:t>
            </w:r>
          </w:hyperlink>
        </w:p>
        <w:p>
          <w:pPr>
            <w:pStyle w:val="TOC3"/>
            <w:tabs>
              <w:tab w:val="clear" w:pos="1134"/>
              <w:tab w:val="right" w:leader="dot" w:pos="9972"/>
            </w:tabs>
            <w:rPr/>
          </w:pPr>
          <w:hyperlink w:anchor="__RefHeading___Toc819_494178889">
            <w:r>
              <w:rPr>
                <w:rStyle w:val="IndexLink"/>
              </w:rPr>
              <w:t xml:space="preserve">Choice between direct allocation or waiting list</w:t>
            </w:r>
            <w:r>
              <w:rPr>
                <w:rStyle w:val="IndexLink"/>
              </w:rPr>
              <w:tab/>
            </w:r>
            <w:r>
              <w:rPr>
                <w:rStyle w:val="IndexLink"/>
              </w:rPr>
              <w:t>15</w:t>
            </w:r>
          </w:hyperlink>
        </w:p>
        <w:p>
          <w:pPr>
            <w:pStyle w:val="TOC3"/>
            <w:tabs>
              <w:tab w:val="clear" w:pos="1134"/>
              <w:tab w:val="right" w:leader="dot" w:pos="9972"/>
            </w:tabs>
            <w:rPr/>
          </w:pPr>
          <w:hyperlink w:anchor="__RefHeading___Toc574_3664237150">
            <w:r>
              <w:rPr>
                <w:rStyle w:val="IndexLink"/>
              </w:rPr>
              <w:t xml:space="preserve">Priority for those who do not yet live in the city</w:t>
            </w:r>
            <w:r>
              <w:rPr>
                <w:rStyle w:val="IndexLink"/>
              </w:rPr>
              <w:tab/>
            </w:r>
            <w:r>
              <w:rPr>
                <w:rStyle w:val="IndexLink"/>
              </w:rPr>
              <w:t>15</w:t>
            </w:r>
          </w:hyperlink>
        </w:p>
        <w:p>
          <w:pPr>
            <w:pStyle w:val="TOC3"/>
            <w:tabs>
              <w:tab w:val="clear" w:pos="1134"/>
              <w:tab w:val="right" w:leader="dot" w:pos="9972"/>
            </w:tabs>
            <w:rPr/>
          </w:pPr>
          <w:hyperlink w:anchor="__RefHeading___Toc576_3664237150">
            <w:r>
              <w:rPr>
                <w:rStyle w:val="IndexLink"/>
              </w:rPr>
              <w:t xml:space="preserve">No distinction between Dutch and non-Dutch students, but between short-term and long-term</w:t>
            </w:r>
            <w:r>
              <w:rPr>
                <w:rStyle w:val="IndexLink"/>
              </w:rPr>
              <w:tab/>
            </w:r>
            <w:r>
              <w:rPr>
                <w:rStyle w:val="IndexLink"/>
              </w:rPr>
              <w:t>15</w:t>
            </w:r>
          </w:hyperlink>
        </w:p>
        <w:p>
          <w:pPr>
            <w:pStyle w:val="TOC2"/>
            <w:tabs>
              <w:tab w:val="clear" w:pos="1134"/>
              <w:tab w:val="right" w:leader="dot" w:pos="9972"/>
            </w:tabs>
            <w:rPr/>
          </w:pPr>
          <w:hyperlink w:anchor="__RefHeading___Toc825_494178889">
            <w:r>
              <w:rPr>
                <w:rStyle w:val="IndexLink"/>
              </w:rPr>
              <w:t xml:space="preserve">The LSVb and the housing movement</w:t>
            </w:r>
            <w:r>
              <w:rPr>
                <w:rStyle w:val="IndexLink"/>
              </w:rPr>
              <w:tab/>
            </w:r>
            <w:r>
              <w:rPr>
                <w:rStyle w:val="IndexLink"/>
              </w:rPr>
              <w:t>17</w:t>
            </w:r>
          </w:hyperlink>
        </w:p>
        <w:p>
          <w:pPr>
            <w:pStyle w:val="TOC3"/>
            <w:tabs>
              <w:tab w:val="clear" w:pos="1134"/>
              <w:tab w:val="right" w:leader="dot" w:pos="9972"/>
            </w:tabs>
            <w:rPr/>
          </w:pPr>
          <w:hyperlink w:anchor="__RefHeading___Toc827_494178889">
            <w:r>
              <w:rPr>
                <w:rStyle w:val="IndexLink"/>
              </w:rPr>
              <w:t xml:space="preserve">Our role within the housing movement</w:t>
            </w:r>
            <w:r>
              <w:rPr>
                <w:rStyle w:val="IndexLink"/>
              </w:rPr>
              <w:tab/>
            </w:r>
            <w:r>
              <w:rPr>
                <w:rStyle w:val="IndexLink"/>
              </w:rPr>
              <w:t>17</w:t>
            </w:r>
          </w:hyperlink>
          <w:r>
            <w:rPr>
              <w:rStyle w:val="IndexLink"/>
            </w:rPr>
            <w:fldChar w:fldCharType="end"/>
          </w:r>
        </w:p>
      </w:sdtContent>
    </w:sdt>
    <w:p>
      <w:pPr>
        <w:pStyle w:val="Heading2"/>
        <w:spacing w:before="0" w:after="120"/>
        <w:rPr>
          <w:color w:val="CC0814"/>
        </w:rPr>
      </w:pPr>
      <w:r>
        <w:br w:type="page"/>
      </w:r>
      <w:bookmarkStart w:name="__RefHeading___Toc558_3664237150" w:id="16"/>
      <w:bookmarkEnd w:id="16"/>
      <w:r>
        <w:rPr>
          <w:color w:val="CC0814"/>
        </w:rPr>
        <w:t xml:space="preserve">Introduction</w:t>
      </w:r>
    </w:p>
    <w:p>
      <w:pPr>
        <w:pStyle w:val="Heading3"/>
        <w:rPr>
          <w:color w:val="CC0814"/>
        </w:rPr>
      </w:pPr>
      <w:bookmarkStart w:name="__RefHeading___Toc560_3664237150" w:id="17"/>
      <w:bookmarkEnd w:id="17"/>
      <w:r>
        <w:rPr>
          <w:color w:val="CC0814"/>
        </w:rPr>
        <w:t xml:space="preserve">Development of this vision</w:t>
      </w:r>
    </w:p>
    <w:p>
      <w:pPr>
        <w:pStyle w:val="BodyText"/>
        <w:bidi w:val="0"/>
        <w:spacing w:before="0" w:after="0" w:line="331" w:lineRule="auto"/>
        <w:jc w:val="both"/>
        <w:rPr>
          <w:lang w:val="nl-NL"/>
        </w:rPr>
      </w:pPr>
      <w:r>
        <w:rPr>
          <w:b w:val="false"/>
          <w:bCs w:val="false"/>
          <w:lang w:val="nl-NL"/>
        </w:rPr>
        <w:t xml:space="preserve">It has already been 10 years since the LSVb adopted its first official housing vision. This arose from the need to be able to respond to new developments and proposals in a predictable and consistent manner. 10 years later, our main position on this subject remains unchanged: “The LSVb believes there should be sufficient good and affordable housing for every student who wants to live in the city where they study.” However, quite a few things have changed in student housing over the past decade. Since the vision is becoming outdated, we are taking the opportunity to make adjustments that better reflect how the LSVb and its members think about specific themes.</w:t>
      </w:r>
    </w:p>
    <w:p>
      <w:pPr>
        <w:pStyle w:val="BodyText"/>
        <w:bidi w:val="0"/>
        <w:spacing w:before="0" w:after="0" w:line="331" w:lineRule="auto"/>
        <w:jc w:val="both"/>
        <w:rPr>
          <w:lang w:val="nl-NL"/>
        </w:rPr>
      </w:pPr>
      <w:r>
        <w:rPr>
          <w:b w:val="false"/>
          <w:bCs w:val="false"/>
          <w:lang w:val="nl-NL"/>
        </w:rPr>
        <w:tab/>
      </w:r>
      <w:r>
        <w:rPr>
          <w:b w:val="false"/>
          <w:bCs w:val="false"/>
          <w:lang w:val="nl-NL"/>
        </w:rPr>
        <w:t xml:space="preserve">The goal of this revision of the vision is to make the general position more practical by formulating more concrete principles on various sub-themes and elaborating on them further. Hopefully, this vision will articulate principles that, in principle, can be applied to all housing plans in the coming years. We are also expanding the vision to include a number of themes that do not directly fall under the overarching position. </w:t>
      </w:r>
      <w:r>
        <w:rPr>
          <w:b w:val="false"/>
          <w:bCs w:val="false"/>
          <w:lang w:val="nl-NL"/>
        </w:rPr>
        <w:tab/>
      </w:r>
      <w:r>
        <w:rPr>
          <w:b w:val="false"/>
          <w:bCs w:val="false"/>
          <w:lang w:val="nl-NL"/>
        </w:rPr>
        <w:tab/>
      </w:r>
    </w:p>
    <w:p>
      <w:pPr>
        <w:pStyle w:val="BodyText"/>
        <w:bidi w:val="0"/>
        <w:spacing w:before="0" w:after="0" w:line="331" w:lineRule="auto"/>
        <w:jc w:val="both"/>
        <w:rPr>
          <w:lang w:val="nl-NL"/>
        </w:rPr>
      </w:pPr>
      <w:r>
        <w:rPr>
          <w:b w:val="false"/>
          <w:bCs w:val="false"/>
          <w:lang w:val="nl-NL"/>
        </w:rPr>
        <w:tab/>
      </w:r>
      <w:r>
        <w:rPr>
          <w:b w:val="false"/>
          <w:bCs w:val="false"/>
          <w:lang w:val="nl-NL"/>
        </w:rPr>
        <w:t xml:space="preserve">This vision is divided into several sections: quantity, affordability, quality and well-being, legal status and self-determination, housing allocation, flexibility, and the LSVb and the housing movement. Although these issues are not, in reality, separate from one another, this division was chosen for the sake of readability. Each section can also be read on its own, without the preceding sections.</w:t>
      </w:r>
    </w:p>
    <w:p>
      <w:pPr>
        <w:pStyle w:val="Heading3"/>
        <w:rPr>
          <w:color w:val="CC0814"/>
        </w:rPr>
      </w:pPr>
      <w:bookmarkStart w:name="__RefHeading___Toc771_494178889" w:id="18"/>
      <w:bookmarkEnd w:id="18"/>
      <w:r>
        <w:rPr>
          <w:color w:val="CC0814"/>
        </w:rPr>
        <w:t xml:space="preserve">The Netherlands is facing a housing crisis</w:t>
      </w:r>
    </w:p>
    <w:p>
      <w:pPr>
        <w:pStyle w:val="BodyText"/>
        <w:bidi w:val="0"/>
        <w:spacing w:before="0" w:after="0" w:line="331" w:lineRule="auto"/>
        <w:jc w:val="both"/>
        <w:rPr/>
      </w:pPr>
      <w:r>
        <w:rPr>
          <w:b w:val="false"/>
          <w:i w:val="false"/>
          <w:caps w:val="false"/>
          <w:smallCaps w:val="false"/>
          <w:strike w:val="false"/>
          <w:dstrike w:val="false"/>
          <w:color w:val="000000"/>
          <w:sz w:val="24"/>
          <w:szCs w:val="24"/>
          <w:u w:val="none"/>
          <w:effect w:val="none"/>
          <w:shd w:val="clear" w:fill="auto"/>
          <w:lang w:val="nl-NL"/>
        </w:rPr>
        <w:t xml:space="preserve">In recent years, a crisis in student housing has become one of the biggest problems students face. Sky-high prices, severe scarcity, unlawful behavior by landlords, neglected maintenance, and housing discrimination are a daily reality for countless students. The consequences of this crisis are just as agonizing: the average student living away from home spends nearly half their income on housing costs. The wait time for student housing can easily span the entire duration of one’s studies. </w:t>
      </w:r>
    </w:p>
    <w:p>
      <w:pPr>
        <w:pStyle w:val="BodyText"/>
        <w:bidi w:val="0"/>
        <w:spacing w:before="0" w:after="0" w:line="331" w:lineRule="auto"/>
        <w:jc w:val="both"/>
        <w:rPr/>
      </w:pP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At LSVb, we believe in housing as a right, as a crucial step toward the independence and coming-of-age that are part of student life. Every student deserves the opportunity for affordable and quality housing, where they are assured of their tenancy rights and feel connected to their housemates. In short, every student deserves a room guarantee and housing justice. Our interpretation of this is described in this vision for student housing. </w:t>
      </w:r>
    </w:p>
    <w:p>
      <w:pPr>
        <w:pStyle w:val="Heading1"/>
        <w:numPr>
          <w:ilvl w:val="0"/>
          <w:numId w:val="0"/>
        </w:numPr>
        <w:ind w:start="0" w:hanging="0"/>
        <w:rPr>
          <w:sz w:val="40"/>
          <w:szCs w:val="36"/>
        </w:rPr>
      </w:pPr>
      <w:r>
        <w:br w:type="page"/>
      </w:r>
    </w:p>
    <w:p>
      <w:pPr>
        <w:pStyle w:val="Heading2"/>
        <w:spacing w:before="0" w:after="120"/>
        <w:rPr>
          <w:color w:val="CC0814"/>
        </w:rPr>
      </w:pPr>
      <w:bookmarkStart w:name="__RefHeading___Toc562_3664237150" w:id="19"/>
      <w:bookmarkEnd w:id="19"/>
      <w:r>
        <w:rPr>
          <w:color w:val="CC0814"/>
        </w:rPr>
        <w:t xml:space="preserve">Quantity</w:t>
      </w:r>
    </w:p>
    <w:p>
      <w:pPr>
        <w:pStyle w:val="Heading3"/>
        <w:rPr/>
      </w:pPr>
      <w:bookmarkStart w:name="__RefHeading___Toc564_3664237150" w:id="20"/>
      <w:bookmarkEnd w:id="20"/>
      <w:r>
        <w:rPr>
          <w:color w:val="CC0814"/>
        </w:rPr>
        <w:t xml:space="preserve">A room guarantee for every student who wants one, in the city where they study.</w:t>
      </w:r>
    </w:p>
    <w:p>
      <w:pPr>
        <w:pStyle w:val="BodyText"/>
        <w:bidi w:val="0"/>
        <w:spacing w:before="0" w:after="0" w:line="331" w:lineRule="auto"/>
        <w:jc w:val="both"/>
        <w:rPr/>
      </w:pPr>
      <w:r>
        <w:rPr>
          <w:b w:val="false"/>
          <w:i w:val="false"/>
          <w:caps w:val="false"/>
          <w:smallCaps w:val="false"/>
          <w:strike w:val="false"/>
          <w:dstrike w:val="false"/>
          <w:color w:val="000000"/>
          <w:sz w:val="24"/>
          <w:szCs w:val="24"/>
          <w:u w:val="none"/>
          <w:effect w:val="none"/>
          <w:shd w:val="clear" w:fill="auto"/>
          <w:lang w:val="nl-NL"/>
        </w:rPr>
        <w:t xml:space="preserve">A sufficient supply of student rooms is the top priority. As long as there aren’t enough rooms, it is by definition impossible to achieve the goal of ensuring that every student who wants a room can have one. Furthermore, quantity takes priority because it is precisely the shortage of rooms that causes many other problems. According to the classic law of supply and demand, a shortage of rooms drives up prices, exacerbates the precarious situation of students living away from home and those searching for housing, and provides no incentive to improve quality. We see this happening in practice. The housing shortage also gives landlords a position of power over tenants. Too many students feel forced to accept excessive rent, poor maintenance, or unsafe conditions because the housing shortage makes it difficult for them to find a place elsewhere. </w:t>
      </w: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Sufficient supply is therefore essential. </w:t>
      </w:r>
    </w:p>
    <w:p>
      <w:pPr>
        <w:pStyle w:val="BodyText"/>
        <w:bidi w:val="0"/>
        <w:spacing w:before="0" w:after="0" w:line="331" w:lineRule="auto"/>
        <w:ind w:start="0" w:hanging="0"/>
        <w:jc w:val="both"/>
        <w:rPr/>
      </w:pP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The question then is when we consider the supply to be sufficient. In principle, more supply is always better for the student, but there does come a point where creating additional rooms is no longer a priority for us. We consider a waiting/search time of up to 2–3 months to be acceptable. This is low enough not to constitute a real obstacle to finding a room. However, it is important not to look solely at official waiting/search time figures. Sufficient supply can only be said to exist if a room that meets the statutory rent and other legal requirements can be found within this maximum timeframe. </w:t>
      </w:r>
    </w:p>
    <w:p>
      <w:pPr>
        <w:pStyle w:val="BodyText"/>
        <w:bidi w:val="0"/>
        <w:spacing w:before="0" w:after="0" w:line="331" w:lineRule="auto"/>
        <w:ind w:start="0" w:hanging="0"/>
        <w:jc w:val="both"/>
        <w:rPr>
          <w:b w:val="false"/>
          <w:i w:val="false"/>
          <w:i w:val="false"/>
          <w:caps w:val="false"/>
          <w:smallCaps w:val="false"/>
          <w:strike w:val="false"/>
          <w:dstrike w:val="false"/>
          <w:color w:val="000000"/>
          <w:sz w:val="24"/>
          <w:szCs w:val="24"/>
          <w:u w:val="none"/>
          <w:effect w:val="none"/>
          <w:shd w:val="clear" w:fill="auto"/>
          <w:lang w:val="nl-NL"/>
        </w:rPr>
      </w:pPr>
    </w:p>
    <w:p>
      <w:pPr>
        <w:pStyle w:val="BodyText"/>
        <w:bidi w:val="0"/>
        <w:spacing w:before="0" w:after="0" w:line="331" w:lineRule="auto"/>
        <w:ind w:start="0" w:hanging="0"/>
        <w:jc w:val="both"/>
        <w:rPr/>
      </w:pPr>
      <w:r>
        <w:rPr>
          <w:b w:val="false"/>
          <w:i w:val="false"/>
          <w:caps w:val="false"/>
          <w:smallCaps w:val="false"/>
          <w:strike w:val="false"/>
          <w:dstrike w:val="false"/>
          <w:color w:val="000000"/>
          <w:sz w:val="24"/>
          <w:szCs w:val="24"/>
          <w:u w:val="none"/>
          <w:effect w:val="none"/>
          <w:shd w:val="clear" w:fill="auto"/>
          <w:lang w:val="nl-NL"/>
        </w:rPr>
        <w:t xml:space="preserve">We also believe it is important to assess, on a city-by-city and case-by-case basis, which rooms can reasonably be included in the actual supply. For example, what distance from an educational institution and from the city center is considered acceptable may vary from city to city. When assessing whether there are enough rooms, the ratio between permanent and temporary rooms must also be taken into account. Whether there are enough rooms should not only be assessed at a specific moment but also for the longer term. If the supply of rooms is expected to decrease again in the future, efforts must continue to create additional rooms. </w:t>
      </w:r>
      <w:r>
        <w:rPr>
          <w:b w:val="false"/>
          <w:i w:val="false"/>
          <w:caps w:val="false"/>
          <w:smallCaps w:val="false"/>
          <w:strike w:val="false"/>
          <w:dstrike w:val="false"/>
          <w:color w:val="000000"/>
          <w:sz w:val="24"/>
          <w:szCs w:val="24"/>
          <w:u w:val="none"/>
          <w:effect w:val="none"/>
          <w:shd w:val="clear" w:fill="auto"/>
          <w:lang w:val="nl-NL"/>
        </w:rPr>
        <w:tab/>
      </w:r>
    </w:p>
    <w:p>
      <w:pPr>
        <w:pStyle w:val="BodyText"/>
        <w:bidi w:val="0"/>
        <w:spacing w:before="0" w:after="0" w:line="331" w:lineRule="auto"/>
        <w:jc w:val="both"/>
        <w:rPr/>
      </w:pP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Finally, it is also important to distinguish between the demand for </w:t>
      </w:r>
      <w:r>
        <w:rPr>
          <w:b w:val="false"/>
          <w:i w:val="false"/>
          <w:caps w:val="false"/>
          <w:smallCaps w:val="false"/>
          <w:strike w:val="false"/>
          <w:dstrike w:val="false"/>
          <w:color w:val="000000"/>
          <w:sz w:val="24"/>
          <w:szCs w:val="24"/>
          <w:u w:val="none"/>
          <w:effect w:val="none"/>
          <w:shd w:val="clear" w:fill="auto"/>
          <w:lang w:val="nl-NL"/>
        </w:rPr>
        <w:t xml:space="preserve">rooms in a purely economic sense and the principle of “a room for every student who wants one.” When the costs of living in student housing rise directly or indirectly—for example, due to the student loan system—demand for rooms decreases. However, this does not necessarily mean that fewer students would want to live in student housing if they could afford it. </w:t>
      </w:r>
    </w:p>
    <w:p>
      <w:pPr>
        <w:pStyle w:val="Heading3"/>
        <w:rPr>
          <w:color w:val="CC0814"/>
        </w:rPr>
      </w:pPr>
      <w:bookmarkStart w:name="__RefHeading___Toc777_494178889" w:id="21"/>
      <w:bookmarkEnd w:id="21"/>
      <w:r>
        <w:rPr>
          <w:color w:val="CC0814"/>
        </w:rPr>
        <w:t xml:space="preserve">On-campus housing: give educational institutions room for student housing.</w:t>
      </w:r>
    </w:p>
    <w:p>
      <w:pPr>
        <w:pStyle w:val="BodyText"/>
        <w:bidi w:val="0"/>
        <w:spacing w:before="0" w:after="0" w:line="331" w:lineRule="auto"/>
        <w:jc w:val="both"/>
        <w:rPr/>
      </w:pPr>
      <w:r>
        <w:rPr>
          <w:rFonts w:ascii="carlito" w:hAnsi="carlito"/>
          <w:sz w:val="24"/>
          <w:szCs w:val="24"/>
          <w:lang w:val="nl-NL"/>
        </w:rPr>
        <w:t xml:space="preserve">The current shortage of affordable student housing and the challenge of finding suitable student housing as a first-year student hinder well-being, just as travel times do for students who want to live away from home but cannot. In addition, educational institutions are increasingly admitting international students, which puts extra pressure on the available housing stock. Educational institutions that have developable campus land should demonstrate an active commitment to contributing to student housing. </w:t>
      </w:r>
      <w:r>
        <w:rPr>
          <w:rFonts w:ascii="carlito" w:hAnsi="carlito"/>
          <w:b w:val="false"/>
          <w:i w:val="false"/>
          <w:caps w:val="false"/>
          <w:smallCaps w:val="false"/>
          <w:strike w:val="false"/>
          <w:dstrike w:val="false"/>
          <w:color w:val="000000"/>
          <w:sz w:val="24"/>
          <w:szCs w:val="24"/>
          <w:u w:val="none"/>
          <w:effect w:val="none"/>
          <w:shd w:val="clear" w:fill="auto"/>
          <w:lang w:val="nl-NL"/>
        </w:rPr>
        <w:t xml:space="preserve">Although this will naturally not be possible for all student campuses, educational institutions, in collaboration with municipalities and student housing providers, should take greater control over student housing and utilize campus land for this purpose.</w:t>
      </w:r>
    </w:p>
    <w:p>
      <w:pPr>
        <w:pStyle w:val="Heading3"/>
        <w:rPr>
          <w:color w:val="CC0814"/>
        </w:rPr>
      </w:pPr>
      <w:bookmarkStart w:name="__RefHeading___Toc566_3664237150" w:id="22"/>
      <w:bookmarkEnd w:id="22"/>
      <w:r>
        <w:rPr>
          <w:rFonts w:ascii="Carlito" w:hAnsi="Carlito"/>
          <w:b/>
          <w:i w:val="false"/>
          <w:caps w:val="false"/>
          <w:smallCaps w:val="false"/>
          <w:strike w:val="false"/>
          <w:dstrike w:val="false"/>
          <w:color w:val="CC0814"/>
          <w:sz w:val="28"/>
          <w:szCs w:val="28"/>
          <w:u w:val="none"/>
          <w:effect w:val="none"/>
          <w:shd w:val="clear" w:fill="auto"/>
          <w:lang w:val="nl-NL"/>
        </w:rPr>
        <w:t xml:space="preserve">Social housing on social land</w:t>
      </w:r>
      <w:r>
        <w:rPr>
          <w:b w:val="false"/>
          <w:i w:val="false"/>
          <w:caps w:val="false"/>
          <w:smallCaps w:val="false"/>
          <w:strike w:val="false"/>
          <w:dstrike w:val="false"/>
          <w:color w:val="CC0814"/>
          <w:sz w:val="24"/>
          <w:szCs w:val="24"/>
          <w:u w:val="none"/>
          <w:effect w:val="none"/>
          <w:shd w:val="clear" w:fill="auto"/>
          <w:lang w:val="nl-NL"/>
        </w:rPr>
        <w:tab/>
      </w:r>
    </w:p>
    <w:p>
      <w:pPr>
        <w:pStyle w:val="BodyText"/>
        <w:bidi w:val="0"/>
        <w:spacing w:before="0" w:after="0" w:line="331" w:lineRule="auto"/>
        <w:jc w:val="both"/>
        <w:rPr/>
      </w:pPr>
      <w:r>
        <w:rPr>
          <w:b w:val="false"/>
          <w:i w:val="false"/>
          <w:caps w:val="false"/>
          <w:smallCaps w:val="false"/>
          <w:strike w:val="false"/>
          <w:dstrike w:val="false"/>
          <w:color w:val="000000"/>
          <w:sz w:val="24"/>
          <w:szCs w:val="24"/>
          <w:u w:val="none"/>
          <w:effect w:val="none"/>
          <w:shd w:val="clear" w:fill="auto"/>
          <w:lang w:val="nl-NL"/>
        </w:rPr>
        <w:t xml:space="preserve">When it comes to increasing the supply, the LSVb sees a major role for social housing corporations, as opposed to commercial developers or private landlords. We make this assessment from the perspective of the affordability of student housing, the legal status of the tenant, and reducing the risk of large-scale sell-offs within the private sector. We prefer affordable housing units that do not depend on generating (sufficient) profit to remain available. Student housing corporations must receive adequate financial support from the government for this purpose.</w:t>
      </w:r>
    </w:p>
    <w:p>
      <w:pPr>
        <w:pStyle w:val="BodyText"/>
        <w:bidi w:val="0"/>
        <w:spacing w:before="0" w:after="0" w:line="360" w:lineRule="auto"/>
        <w:jc w:val="both"/>
        <w:rPr/>
      </w:pPr>
      <w:r>
        <w:rPr>
          <w:sz w:val="24"/>
          <w:szCs w:val="24"/>
          <w:lang w:val="nl-NL"/>
        </w:rPr>
        <w:tab/>
      </w:r>
      <w:r>
        <w:rPr>
          <w:sz w:val="24"/>
          <w:szCs w:val="24"/>
          <w:lang w:val="nl-NL"/>
        </w:rPr>
        <w:t xml:space="preserve">Part of this also involves combating land speculation and implementing other measures that keep land prices manageable for (social) housing corporations so they can continue to build affordable housing units, such as land cost subsidies, </w:t>
      </w:r>
      <w:r>
        <w:rPr>
          <w:b w:val="false"/>
          <w:i w:val="false"/>
          <w:caps w:val="false"/>
          <w:smallCaps w:val="false"/>
          <w:strike w:val="false"/>
          <w:dstrike w:val="false"/>
          <w:color w:val="000000"/>
          <w:sz w:val="24"/>
          <w:szCs w:val="24"/>
          <w:u w:val="none"/>
          <w:effect w:val="none"/>
          <w:shd w:val="clear" w:fill="auto"/>
          <w:lang w:val="nl-NL"/>
        </w:rPr>
        <w:t xml:space="preserve">a (higher) planning gain levy, a land bank, or land market regulation.</w:t>
      </w:r>
    </w:p>
    <w:p>
      <w:pPr>
        <w:pStyle w:val="Heading3"/>
        <w:rPr>
          <w:color w:val="CC0814"/>
        </w:rPr>
      </w:pPr>
      <w:bookmarkStart w:name="__RefHeading___Toc781_494178889" w:id="23"/>
      <w:bookmarkEnd w:id="23"/>
      <w:r>
        <w:rPr>
          <w:color w:val="CC0814"/>
        </w:rPr>
        <w:t xml:space="preserve">No Vacancies During a Housing Crisis </w:t>
      </w:r>
    </w:p>
    <w:p>
      <w:pPr>
        <w:pStyle w:val="BodyText"/>
        <w:bidi w:val="0"/>
        <w:spacing w:before="0" w:after="0" w:line="331" w:lineRule="auto"/>
        <w:jc w:val="both"/>
        <w:rPr/>
      </w:pPr>
      <w:r>
        <w:rPr>
          <w:sz w:val="24"/>
          <w:szCs w:val="24"/>
          <w:lang w:val="nl-NL"/>
        </w:rPr>
        <w:t xml:space="preserve">It is absurd that, in times of scarcity and shortage in (student) housing, there are still many vacant homes in the Netherlands. </w:t>
      </w:r>
      <w:r>
        <w:rPr>
          <w:b w:val="false"/>
          <w:i w:val="false"/>
          <w:caps w:val="false"/>
          <w:smallCaps w:val="false"/>
          <w:strike w:val="false"/>
          <w:dstrike w:val="false"/>
          <w:color w:val="000000"/>
          <w:sz w:val="24"/>
          <w:szCs w:val="24"/>
          <w:u w:val="none"/>
          <w:effect w:val="none"/>
          <w:shd w:val="clear" w:fill="auto"/>
          <w:lang w:val="nl-NL"/>
        </w:rPr>
        <w:t xml:space="preserve">Of course, these vacant properties cannot simply be appropriated to develop (student) housing within the current frameworks, such as due to compensation requirements. Municipalities and the national government should nevertheless devise more creative ways to strongly discourage keeping properties vacant or to make it financially very unattractive. Other types of real estate that have been vacant for a long time could be explicitly identified for conversion into (temporary) student housing.</w:t>
      </w:r>
    </w:p>
    <w:p>
      <w:pPr>
        <w:pStyle w:val="BodyText"/>
        <w:bidi w:val="0"/>
        <w:spacing w:before="0" w:after="0" w:line="331" w:lineRule="auto"/>
        <w:jc w:val="both"/>
        <w:rPr/>
      </w:pPr>
      <w:r>
        <w:rPr>
          <w:sz w:val="24"/>
          <w:szCs w:val="24"/>
          <w:lang w:val="nl-NL"/>
        </w:rPr>
        <w:tab/>
      </w:r>
      <w:r>
        <w:rPr>
          <w:sz w:val="24"/>
          <w:szCs w:val="24"/>
          <w:lang w:val="nl-NL"/>
        </w:rPr>
        <w:t xml:space="preserve">Finally, the ban on squatting must be repealed or, at the </w:t>
      </w:r>
      <w:r>
        <w:rPr>
          <w:b w:val="false"/>
          <w:i w:val="false"/>
          <w:caps w:val="false"/>
          <w:smallCaps w:val="false"/>
          <w:strike w:val="false"/>
          <w:dstrike w:val="false"/>
          <w:color w:val="000000"/>
          <w:sz w:val="24"/>
          <w:szCs w:val="24"/>
          <w:u w:val="none"/>
          <w:effect w:val="none"/>
          <w:shd w:val="clear" w:fill="auto"/>
          <w:lang w:val="nl-NL"/>
        </w:rPr>
        <w:t xml:space="preserve">very least, not enforced. The threat of potential squatting discourages long-term vacancy, particularly in cities where the pressure is especially high. In addition, squatting helps identify vacant properties. We also note that students who have temporary housing through the municipality’s vacancy management program are often evicted afterward without a safety net. That is why we demand that the municipality have a duty to make every effort to help them find new housing when the temporary contract is not renewed.</w:t>
      </w:r>
    </w:p>
    <w:p>
      <w:pPr>
        <w:pStyle w:val="BodyText"/>
        <w:bidi w:val="0"/>
        <w:spacing w:before="0" w:after="0" w:line="331" w:lineRule="auto"/>
        <w:rPr>
          <w:rFonts w:ascii="Carlito" w:hAnsi="Carlito"/>
          <w:b w:val="false"/>
          <w:i w:val="false"/>
          <w:i w:val="false"/>
          <w:caps w:val="false"/>
          <w:smallCaps w:val="false"/>
          <w:strike w:val="false"/>
          <w:dstrike w:val="false"/>
          <w:color w:val="000000"/>
          <w:sz w:val="24"/>
          <w:szCs w:val="24"/>
          <w:u w:val="none"/>
          <w:effect w:val="none"/>
          <w:shd w:val="clear" w:fill="auto"/>
          <w:lang w:val="nl-NL"/>
        </w:rPr>
      </w:pPr>
    </w:p>
    <w:p>
      <w:pPr>
        <w:pStyle w:val="Heading1"/>
        <w:numPr>
          <w:ilvl w:val="0"/>
          <w:numId w:val="0"/>
        </w:numPr>
        <w:ind w:start="0" w:hanging="0"/>
        <w:rPr/>
      </w:pPr>
      <w:r>
        <w:br w:type="page"/>
      </w:r>
    </w:p>
    <w:p>
      <w:pPr>
        <w:pStyle w:val="Heading2"/>
        <w:spacing w:before="0" w:after="120"/>
        <w:rPr/>
      </w:pPr>
      <w:bookmarkStart w:name="__RefHeading___Toc568_3664237150" w:id="24"/>
      <w:bookmarkEnd w:id="24"/>
      <w:r>
        <w:rPr>
          <w:color w:val="CC0814"/>
        </w:rPr>
        <w:t xml:space="preserve">Affordability</w:t>
      </w:r>
    </w:p>
    <w:p>
      <w:pPr>
        <w:pStyle w:val="Heading3"/>
        <w:rPr>
          <w:color w:val="CC0814"/>
        </w:rPr>
      </w:pPr>
      <w:bookmarkStart w:name="__RefHeading___Toc570_3664237150" w:id="25"/>
      <w:bookmarkEnd w:id="25"/>
      <w:r>
        <w:rPr>
          <w:color w:val="CC0814"/>
        </w:rPr>
        <w:t xml:space="preserve">Cheaper non-self-contained rooms are a priority</w:t>
      </w:r>
    </w:p>
    <w:p>
      <w:pPr>
        <w:pStyle w:val="BodyText"/>
        <w:bidi w:val="0"/>
        <w:spacing w:before="171" w:after="171"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Rooms must be affordable for every student. This means, at a minimum, that the rent must not exceed the legal maximum rent. However, a legal rent does not always equate to a low price. Affordable rooms can generally be achieved in two ways. First, rooms can be built that have a low maximum rent based on the points system. Second, landlords can charge lower prices than they are permitted to. As long as there is a housing shortage, the first option is preferred. Lowering rent prices also comes at the expense of investment capacity for building new rooms. It is therefore a priority to build new rooms, particularly shared, more affordable rooms. In this context, there is a specific preference for shared rooms over private rooms, as the former have lower rent prices anyway under the points system. Another important advantage of non-self-contained rooms is that shared facilities save space. This allows a larger number of students to be housed within the same floor area and building volume.  </w:t>
      </w:r>
    </w:p>
    <w:p>
      <w:pPr>
        <w:pStyle w:val="Heading3"/>
        <w:rPr>
          <w:color w:val="CC0814"/>
        </w:rPr>
      </w:pPr>
      <w:bookmarkStart w:name="__RefHeading___Toc572_3664237150" w:id="26"/>
      <w:bookmarkEnd w:id="26"/>
      <w:r>
        <w:rPr>
          <w:color w:val="CC0814"/>
        </w:rPr>
        <w:t xml:space="preserve">Housing cost assistance independent of housing type and age</w:t>
      </w:r>
    </w:p>
    <w:p>
      <w:pPr>
        <w:pStyle w:val="BodyText"/>
        <w:bidi w:val="0"/>
        <w:spacing w:before="171" w:after="171"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The current rent subsidy is essential to keep a large portion of the housing supply—namely, self-contained student housing—affordable for the target group. This housing cost support must therefore be maintained at a minimum, and preferably expanded. The rent subsidy should be granted in full without age discrimination and for non-self-contained rooms. </w:t>
      </w:r>
    </w:p>
    <w:p>
      <w:pPr>
        <w:pStyle w:val="Heading3"/>
        <w:rPr>
          <w:color w:val="CC0814"/>
        </w:rPr>
      </w:pPr>
      <w:bookmarkStart w:name="__RefHeading___Toc789_494178889" w:id="27"/>
      <w:bookmarkEnd w:id="27"/>
      <w:r>
        <w:rPr>
          <w:color w:val="CC0814"/>
        </w:rPr>
        <w:t xml:space="preserve">All student rooms and housing fall under the points system</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Various forms of temporary student housing are currently not covered by the points system. These include, for example, student hotels and short-stay accommodations. Because this type of rental is considered “short-term in nature” under current legislation, it is not regarded as a residential lease agreement. The LSVb believes that every student who needs a room in the city where they study should be treated as a student and not as a vacationer. The fact that they only need a room for a short period does not change this. Rooms rented by students for a short period should therefore also be subject to the points system.</w:t>
      </w:r>
    </w:p>
    <w:p>
      <w:pPr>
        <w:pStyle w:val="Heading3"/>
        <w:rPr>
          <w:sz w:val="28"/>
          <w:szCs w:val="28"/>
        </w:rPr>
      </w:pPr>
      <w:bookmarkStart w:name="__RefHeading___Toc791_494178889" w:id="28"/>
      <w:bookmarkEnd w:id="28"/>
      <w:r>
        <w:rPr>
          <w:color w:val="CC0814"/>
        </w:rPr>
        <w:t xml:space="preserve">A fair price for every room</w:t>
      </w:r>
    </w:p>
    <w:p>
      <w:pPr>
        <w:pStyle w:val="BodyText"/>
        <w:bidi w:val="0"/>
        <w:spacing w:before="0" w:after="0" w:line="331" w:lineRule="auto"/>
        <w:ind w:end="0" w:hanging="0"/>
        <w:jc w:val="both"/>
        <w:rPr>
          <w:rFonts w:ascii="Carlito" w:hAnsi="Carlito"/>
          <w:sz w:val="24"/>
          <w:szCs w:val="24"/>
        </w:rPr>
      </w:pPr>
      <w:r>
        <w:rPr>
          <w:b w:val="false"/>
          <w:i w:val="false"/>
          <w:caps w:val="false"/>
          <w:smallCaps w:val="false"/>
          <w:strike w:val="false"/>
          <w:dstrike w:val="false"/>
          <w:color w:val="000000"/>
          <w:sz w:val="24"/>
          <w:szCs w:val="24"/>
          <w:u w:val="none"/>
          <w:effect w:val="none"/>
          <w:shd w:val="clear" w:fill="auto"/>
          <w:lang w:val="nl-NL"/>
        </w:rPr>
        <w:t xml:space="preserve">Since the introduction of the Affordable Rent Act, a portion of private-sector housing—up to 186 points in the WWS—is eligible for a rent reduction in accordance with the points system. However, this rent reduction must be requested by the tenant themselves, making the reduction dependent on the tenant’s knowledge and ability to push for a rent reduction. Students’ precarious housing situation can complicate this process. That is why we want municipalities to enforce the Affordable Rent Act more strictly.</w:t>
      </w:r>
      <w:r>
        <w:rPr>
          <w:b w:val="false"/>
          <w:i w:val="false"/>
          <w:caps w:val="false"/>
          <w:smallCaps w:val="false"/>
          <w:strike w:val="false"/>
          <w:dstrike w:val="false"/>
          <w:color w:val="000000"/>
          <w:sz w:val="24"/>
          <w:szCs w:val="24"/>
          <w:u w:val="none"/>
          <w:effect w:val="none"/>
          <w:shd w:val="clear" w:fill="auto"/>
          <w:lang w:val="nl-NL"/>
        </w:rPr>
        <w:br/>
      </w: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Although it is a positive development that a portion of private-sector housing is priced fairly—namely, at the price prescribed by the WWS—this does mean that there are still many rental units above that threshold where rents are set too high. That is why we advocate raising that threshold and applying the WBH to existing lease agreements. This way, everyone pays a fair price for their home. </w:t>
      </w:r>
    </w:p>
    <w:p>
      <w:pPr>
        <w:pStyle w:val="BodyText"/>
        <w:bidi w:val="0"/>
        <w:jc w:val="left"/>
        <w:rPr>
          <w:rFonts w:ascii="Carlito" w:hAnsi="Carlito"/>
          <w:sz w:val="24"/>
          <w:szCs w:val="24"/>
          <w:lang w:val="nl-NL"/>
        </w:rPr>
      </w:pPr>
    </w:p>
    <w:p>
      <w:pPr>
        <w:pStyle w:val="Heading1"/>
        <w:numPr>
          <w:ilvl w:val="0"/>
          <w:numId w:val="0"/>
        </w:numPr>
        <w:ind w:start="0" w:hanging="0"/>
        <w:rPr/>
      </w:pPr>
      <w:r>
        <w:br w:type="page"/>
      </w:r>
    </w:p>
    <w:p>
      <w:pPr>
        <w:pStyle w:val="Heading2"/>
        <w:spacing w:before="0" w:after="120"/>
        <w:rPr>
          <w:color w:val="CC0814"/>
        </w:rPr>
      </w:pPr>
      <w:bookmarkStart w:name="__RefHeading___Toc793_494178889" w:id="29"/>
      <w:bookmarkEnd w:id="29"/>
      <w:r>
        <w:rPr>
          <w:color w:val="CC0814"/>
        </w:rPr>
        <w:t xml:space="preserve">Well-being and Quality </w:t>
      </w:r>
    </w:p>
    <w:p>
      <w:pPr>
        <w:pStyle w:val="Heading3"/>
        <w:rPr>
          <w:sz w:val="28"/>
          <w:szCs w:val="28"/>
        </w:rPr>
      </w:pPr>
      <w:bookmarkStart w:name="__RefHeading___Toc795_494178889" w:id="30"/>
      <w:bookmarkEnd w:id="30"/>
      <w:r>
        <w:rPr>
          <w:color w:val="CC0814"/>
        </w:rPr>
        <w:t xml:space="preserve">Limit the imposition of quality regulations</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Imposing regulations and quality requirements that student rooms must meet often seems appealing at first glance, but it also hinders the creation of additional rooms. For example, minimum floor space standards per room mean that existing buildings that do not have the appropriate layout cannot be converted into student rooms. We would therefore like to see only basic requirements regarding, for example, safety and health enshrined in mandatory law. Other aspects of room quality should be regulated through the points system, so that lower quality corresponds to a lower rent. </w:t>
      </w:r>
    </w:p>
    <w:p>
      <w:pPr>
        <w:pStyle w:val="Heading3"/>
        <w:rPr>
          <w:color w:val="CC0814"/>
        </w:rPr>
      </w:pPr>
      <w:bookmarkStart w:name="__RefHeading___Toc797_494178889" w:id="31"/>
      <w:bookmarkEnd w:id="31"/>
      <w:r>
        <w:rPr>
          <w:color w:val="CC0814"/>
        </w:rPr>
        <w:t xml:space="preserve">No rent increase for extra facilities</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Although the rent should be proportional to the quality to a certain extent, not every quality improvement needs to lead to a rent increase. The creation of luxury rooms does not need to be encouraged. Including items such as nicer kitchens and communal fitness facilities in the points system is therefore undesirable.</w:t>
      </w:r>
    </w:p>
    <w:p>
      <w:pPr>
        <w:pStyle w:val="Heading3"/>
        <w:rPr>
          <w:color w:val="CC0814"/>
        </w:rPr>
      </w:pPr>
      <w:bookmarkStart w:name="__RefHeading___Toc799_494178889" w:id="32"/>
      <w:bookmarkEnd w:id="32"/>
      <w:r>
        <w:rPr>
          <w:color w:val="CC0814"/>
        </w:rPr>
        <w:t xml:space="preserve">Accessibility</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Every student must be able to find housing, regardless of socioeconomic or cultural background, beliefs, or health/disability. If certain groups of students face barriers to finding housing, active efforts must be made to remove these barriers as much as possible.</w:t>
      </w:r>
    </w:p>
    <w:p>
      <w:pPr>
        <w:pStyle w:val="Heading3"/>
        <w:rPr>
          <w:sz w:val="28"/>
          <w:szCs w:val="28"/>
        </w:rPr>
      </w:pPr>
      <w:bookmarkStart w:name="__RefHeading___Toc801_494178889" w:id="33"/>
      <w:bookmarkEnd w:id="33"/>
      <w:r>
        <w:rPr>
          <w:color w:val="CC0814"/>
        </w:rPr>
        <w:t xml:space="preserve">Sustainability</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The importance of sustainability is widely recognized and also endorsed by the LSVb. For student housing, this means, among other things, that investments must be made in insulation and other energy-saving measures. The use of renewable energy, for example through solar panels, must also be encouraged. However, affordability generally takes precedence over sustainability. Preference is therefore given to sustainability measures that are cost-saving or cost-neutral for the tenant.</w:t>
      </w:r>
    </w:p>
    <w:p>
      <w:pPr>
        <w:pStyle w:val="BodyText"/>
        <w:bidi w:val="0"/>
        <w:jc w:val="left"/>
        <w:rPr>
          <w:rFonts w:ascii="Carlito" w:hAnsi="Carlito"/>
          <w:sz w:val="24"/>
          <w:szCs w:val="24"/>
          <w:lang w:val="nl-NL"/>
        </w:rPr>
      </w:pPr>
    </w:p>
    <w:p>
      <w:pPr>
        <w:pStyle w:val="Heading3"/>
        <w:rPr>
          <w:sz w:val="28"/>
          <w:szCs w:val="28"/>
        </w:rPr>
      </w:pPr>
      <w:bookmarkStart w:name="__RefHeading___Toc803_494178889" w:id="34"/>
      <w:bookmarkEnd w:id="34"/>
      <w:r>
        <w:rPr>
          <w:rFonts w:ascii="Carlito" w:hAnsi="Carlito"/>
          <w:color w:val="CC0814"/>
          <w:sz w:val="28"/>
          <w:szCs w:val="28"/>
        </w:rPr>
        <w:t xml:space="preserve">Community</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Student housing should foster a sense of community among students to help combat growing loneliness. This can be achieved by increasing the number of shared housing units, allowing students to build connections by sharing common areas. It can also be achieved by increasing common areas in student complexes with private housing units. In these spaces, student tenants can gather, meet one another, and build relationships. </w:t>
      </w:r>
    </w:p>
    <w:p>
      <w:pPr>
        <w:pStyle w:val="Heading3"/>
        <w:rPr>
          <w:color w:val="CC0814"/>
        </w:rPr>
      </w:pPr>
      <w:bookmarkStart w:name="__RefHeading___Toc805_494178889" w:id="35"/>
      <w:bookmarkEnd w:id="35"/>
      <w:r>
        <w:rPr>
          <w:rFonts w:ascii="Carlito" w:hAnsi="Carlito"/>
          <w:color w:val="CC0814"/>
          <w:sz w:val="28"/>
          <w:szCs w:val="28"/>
        </w:rPr>
        <w:t xml:space="preserve">Connection to the City </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Due to limited space in student cities, it is an option to build student housing further away from the campus. In this case, it is crucial that there is a good connection to the rest of the city, and specifically to the campus. This includes well-lit bike paths or walking routes and reliable and regular public transportation. </w:t>
      </w:r>
    </w:p>
    <w:p>
      <w:pPr>
        <w:pStyle w:val="Heading1"/>
        <w:numPr>
          <w:ilvl w:val="0"/>
          <w:numId w:val="0"/>
        </w:numPr>
        <w:ind w:start="0" w:hanging="0"/>
        <w:rPr/>
      </w:pPr>
      <w:r>
        <w:br w:type="page"/>
      </w:r>
    </w:p>
    <w:p>
      <w:pPr>
        <w:pStyle w:val="Heading2"/>
        <w:spacing w:before="0" w:after="120"/>
        <w:rPr>
          <w:color w:val="CC0814"/>
        </w:rPr>
      </w:pPr>
      <w:bookmarkStart w:name="__RefHeading___Toc807_494178889" w:id="36"/>
      <w:bookmarkEnd w:id="36"/>
      <w:r>
        <w:rPr>
          <w:color w:val="CC0814"/>
        </w:rPr>
        <w:t xml:space="preserve">Legal status and decision-making</w:t>
      </w:r>
    </w:p>
    <w:p>
      <w:pPr>
        <w:pStyle w:val="Heading3"/>
        <w:rPr/>
      </w:pPr>
      <w:bookmarkStart w:name="__RefHeading___Toc809_494178889" w:id="37"/>
      <w:bookmarkEnd w:id="37"/>
      <w:r>
        <w:rPr>
          <w:color w:val="CC0814"/>
        </w:rPr>
        <w:t xml:space="preserve">Responsibility for enforcing regulations should not rest solely with students</w:t>
      </w:r>
    </w:p>
    <w:p>
      <w:pPr>
        <w:pStyle w:val="BodyText"/>
        <w:bidi w:val="0"/>
        <w:spacing w:before="0" w:after="0" w:line="360" w:lineRule="auto"/>
        <w:ind w:end="0" w:hanging="0"/>
        <w:rPr/>
      </w:pPr>
      <w:r>
        <w:rPr>
          <w:b w:val="false"/>
          <w:i w:val="false"/>
          <w:caps w:val="false"/>
          <w:smallCaps w:val="false"/>
          <w:strike w:val="false"/>
          <w:dstrike w:val="false"/>
          <w:color w:val="000000"/>
          <w:sz w:val="24"/>
          <w:szCs w:val="24"/>
          <w:u w:val="none"/>
          <w:effect w:val="none"/>
          <w:shd w:val="clear" w:fill="auto"/>
          <w:lang w:val="nl-NL"/>
        </w:rPr>
        <w:t xml:space="preserve">In large cities, including student cities, it is important to have accessible and independent rental assistance centers that can provide legal advice and support to tenants in matters of tenancy law. Every student city should have an independent rental assistance team, making it easier for student tenants to address poor landlord practices. </w:t>
      </w:r>
    </w:p>
    <w:p>
      <w:pPr>
        <w:pStyle w:val="Heading3"/>
        <w:rPr>
          <w:sz w:val="28"/>
          <w:szCs w:val="28"/>
        </w:rPr>
      </w:pPr>
      <w:bookmarkStart w:name="__RefHeading___Toc811_494178889" w:id="38"/>
      <w:bookmarkEnd w:id="38"/>
      <w:r>
        <w:rPr>
          <w:color w:val="CC0814"/>
        </w:rPr>
        <w:t xml:space="preserve">Our homes, our choices! Give student tenants a say</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Within student housing complexes, it is important that tenants have a say and can make decisions regarding the housing. This allows any problems or abuses experienced within a residence to be addressed directly with the landlord, and enables tenants to speak out against any instances of poor landlord practices. Resident committees provide a solid foundation for tenant representation but should be granted broader rights to influence the housing provider’s policies. Tenant committees or tenant representation should also be facilitated and encouraged by the landlord. </w:t>
      </w:r>
    </w:p>
    <w:p>
      <w:pPr>
        <w:pStyle w:val="Heading1"/>
        <w:numPr>
          <w:ilvl w:val="0"/>
          <w:numId w:val="0"/>
        </w:numPr>
        <w:ind w:start="0" w:hanging="0"/>
        <w:rPr>
          <w:rFonts w:ascii="Carlito" w:hAnsi="Carlito"/>
          <w:sz w:val="24"/>
          <w:szCs w:val="24"/>
        </w:rPr>
      </w:pPr>
      <w:r>
        <w:br w:type="page"/>
      </w:r>
    </w:p>
    <w:p>
      <w:pPr>
        <w:pStyle w:val="Heading2"/>
        <w:spacing w:before="0" w:after="120"/>
        <w:rPr>
          <w:color w:val="CC0814"/>
        </w:rPr>
      </w:pPr>
      <w:bookmarkStart w:name="__RefHeading___Toc813_494178889" w:id="39"/>
      <w:bookmarkEnd w:id="39"/>
      <w:r>
        <w:rPr>
          <w:color w:val="CC0814"/>
        </w:rPr>
        <w:t xml:space="preserve">Flexibility</w:t>
      </w:r>
    </w:p>
    <w:p>
      <w:pPr>
        <w:pStyle w:val="Heading3"/>
        <w:rPr>
          <w:sz w:val="28"/>
          <w:szCs w:val="28"/>
        </w:rPr>
      </w:pPr>
      <w:bookmarkStart w:name="__RefHeading___Toc815_494178889" w:id="40"/>
      <w:bookmarkEnd w:id="40"/>
      <w:r>
        <w:rPr>
          <w:color w:val="CC0814"/>
        </w:rPr>
        <w:t xml:space="preserve">No short-stay or temporary contracts that limit students’ freedom of choice</w:t>
      </w:r>
    </w:p>
    <w:p>
      <w:pPr>
        <w:pStyle w:val="BodyText"/>
        <w:bidi w:val="0"/>
        <w:spacing w:before="0" w:after="0" w:line="331" w:lineRule="auto"/>
        <w:ind w:end="0" w:hanging="0"/>
        <w:jc w:val="both"/>
        <w:rPr/>
      </w:pPr>
      <w:r>
        <w:rPr>
          <w:sz w:val="24"/>
          <w:szCs w:val="24"/>
          <w:lang w:val="nl-NL"/>
        </w:rPr>
        <w:t xml:space="preserve">Students are exempt from the ban on temporary leases</w:t>
      </w:r>
      <w:r>
        <w:rPr>
          <w:b w:val="false"/>
          <w:i w:val="false"/>
          <w:caps w:val="false"/>
          <w:smallCaps w:val="false"/>
          <w:strike w:val="false"/>
          <w:dstrike w:val="false"/>
          <w:color w:val="000000"/>
          <w:sz w:val="24"/>
          <w:szCs w:val="24"/>
          <w:u w:val="none"/>
          <w:effect w:val="none"/>
          <w:shd w:val="clear" w:fill="auto"/>
          <w:lang w:val="nl-NL"/>
        </w:rPr>
        <w:t xml:space="preserve">. These temporary leases conflict with students’ freedom to choose how long or short a period they wish to stay in their room. Furthermore, temporary leases for, say, four or five years can put pressure on students to graduate sooner than they would like. Short-term temporary leases also have a negative impact on rent protection, especially when tenants depend on a renewal to remain housed. In principle, the LSVb is therefore opposed to temporary leases. </w:t>
      </w:r>
      <w:r>
        <w:rPr>
          <w:b w:val="false"/>
          <w:i w:val="false"/>
          <w:caps w:val="false"/>
          <w:smallCaps w:val="false"/>
          <w:strike w:val="false"/>
          <w:dstrike w:val="false"/>
          <w:color w:val="000000"/>
          <w:sz w:val="24"/>
          <w:szCs w:val="24"/>
          <w:u w:val="none"/>
          <w:effect w:val="none"/>
          <w:shd w:val="clear" w:fill="auto"/>
          <w:lang w:val="nl-NL"/>
        </w:rPr>
        <w:br/>
      </w:r>
      <w:r>
        <w:rPr>
          <w:b w:val="false"/>
          <w:i w:val="false"/>
          <w:caps w:val="false"/>
          <w:smallCaps w:val="false"/>
          <w:strike w:val="false"/>
          <w:dstrike w:val="false"/>
          <w:color w:val="000000"/>
          <w:sz w:val="24"/>
          <w:szCs w:val="24"/>
          <w:u w:val="none"/>
          <w:effect w:val="none"/>
          <w:shd w:val="clear" w:fill="auto"/>
          <w:lang w:val="nl-NL"/>
        </w:rPr>
        <w:t xml:space="preserve"> </w:t>
      </w: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However, there are two situations that constitute exceptions. The first involves exchange students, for whom housing is specifically reserved and is then needed for the next group. Since the current use of short-stay contracts to house these students is far from ideal, a modified contract form should be introduced that does offer rent protection and meets the temporary housing needs of this target group.  However, short-stay students who decide to stay longer must have the option to transition to a standard student residence. </w:t>
      </w:r>
      <w:r>
        <w:rPr>
          <w:sz w:val="24"/>
          <w:szCs w:val="24"/>
          <w:lang w:val="nl-NL"/>
        </w:rPr>
        <w:t xml:space="preserve">Second, </w:t>
      </w:r>
      <w:r>
        <w:rPr>
          <w:b w:val="false"/>
          <w:i w:val="false"/>
          <w:caps w:val="false"/>
          <w:smallCaps w:val="false"/>
          <w:strike w:val="false"/>
          <w:dstrike w:val="false"/>
          <w:color w:val="000000"/>
          <w:sz w:val="24"/>
          <w:szCs w:val="24"/>
          <w:u w:val="none"/>
          <w:effect w:val="none"/>
          <w:shd w:val="clear" w:fill="auto"/>
          <w:lang w:val="nl-NL"/>
        </w:rPr>
        <w:t xml:space="preserve">we consider the campus contract acceptable as long as there is still a housing shortage. With this form of temporary housing, students are not confronted with the expiration of their contract during their studies, and there is also no pressure to graduate sooner.</w:t>
      </w:r>
      <w:r>
        <w:br w:type="page"/>
      </w:r>
    </w:p>
    <w:p>
      <w:pPr>
        <w:pStyle w:val="Heading2"/>
        <w:spacing w:before="0" w:after="120"/>
        <w:rPr>
          <w:color w:val="CC0814"/>
        </w:rPr>
      </w:pPr>
      <w:bookmarkStart w:name="__RefHeading___Toc817_494178889" w:id="41"/>
      <w:bookmarkEnd w:id="41"/>
      <w:r>
        <w:rPr>
          <w:color w:val="CC0814"/>
        </w:rPr>
        <w:t xml:space="preserve">Housing Allocation</w:t>
      </w:r>
    </w:p>
    <w:p>
      <w:pPr>
        <w:pStyle w:val="Heading3"/>
        <w:rPr/>
      </w:pPr>
      <w:bookmarkStart w:name="__RefHeading___Toc819_494178889" w:id="42"/>
      <w:bookmarkEnd w:id="42"/>
      <w:r>
        <w:rPr>
          <w:color w:val="CC0814"/>
        </w:rPr>
        <w:t xml:space="preserve">Choice between direct allocation or waiting list</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 xml:space="preserve">As long as there is a shortage of student housing, the allocation of student housing remains an issue. In particular, the allocation of shared student rooms remains a significant issue, as various models exist for this. For instance, student housing providers can use direct allocation, allow students to decide among themselves which students get the chance to secure a room within a residence, or employ a system that falls somewhere in between. Providers should use a variety of allocation methods to meet different needs. Social housing providers, in particular, who fulfill a social mission and receive government support for this purpose, must ensure that the allocation of their housing units is transparent and that there is equal opportunity among those seeking housing. At the same time, tenants’ autonomy must be respected.</w:t>
      </w:r>
    </w:p>
    <w:p>
      <w:pPr>
        <w:pStyle w:val="BodyText"/>
        <w:bidi w:val="0"/>
        <w:spacing w:before="0" w:after="0" w:line="331" w:lineRule="auto"/>
        <w:ind w:end="0" w:hanging="0"/>
        <w:jc w:val="both"/>
        <w:rPr/>
      </w:pP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That is why we advocate for a distribution system in which all available rooms are offered at a central location, followed by viewings based on a preselection process. The preselection for a viewing evening should be based on objective criteria, such as length of time on the waiting list. In this way, we balance residents’ autonomy with the promotion of equal opportunity.  </w:t>
      </w:r>
    </w:p>
    <w:p>
      <w:pPr>
        <w:pStyle w:val="Heading3"/>
        <w:rPr>
          <w:color w:val="CC0814"/>
        </w:rPr>
      </w:pPr>
      <w:bookmarkStart w:name="__RefHeading___Toc574_3664237150" w:id="43"/>
      <w:bookmarkEnd w:id="43"/>
      <w:r>
        <w:rPr>
          <w:color w:val="CC0814"/>
        </w:rPr>
        <w:t xml:space="preserve">Priority for those who do not yet live in the city</w:t>
      </w:r>
    </w:p>
    <w:p>
      <w:pPr>
        <w:pStyle w:val="BodyText"/>
        <w:spacing w:before="0" w:after="169" w:line="360" w:lineRule="auto"/>
        <w:jc w:val="both"/>
        <w:rPr/>
      </w:pPr>
      <w:r>
        <w:rPr/>
        <w:t xml:space="preserve">For those who do not yet live near the university town, a room is of great importance for access to education. In principle, this importance outweighs the interests of students who already live in the city but would like a nicer room. Students from (far) outside the city should therefore be given priority in securing a room.</w:t>
      </w:r>
    </w:p>
    <w:p>
      <w:pPr>
        <w:pStyle w:val="Heading3"/>
        <w:rPr>
          <w:color w:val="CC0814"/>
        </w:rPr>
      </w:pPr>
      <w:bookmarkStart w:name="__RefHeading___Toc576_3664237150" w:id="44"/>
      <w:bookmarkEnd w:id="44"/>
      <w:r>
        <w:rPr>
          <w:color w:val="CC0814"/>
        </w:rPr>
        <w:t xml:space="preserve">No distinction between Dutch and non-Dutch students, but between short-term and long-term</w:t>
      </w:r>
    </w:p>
    <w:p>
      <w:pPr>
        <w:pStyle w:val="BodyText"/>
        <w:spacing w:line="360" w:lineRule="auto"/>
        <w:jc w:val="both"/>
        <w:rPr/>
      </w:pPr>
      <w:r>
        <w:rPr>
          <w:b w:val="false"/>
          <w:i w:val="false"/>
          <w:caps w:val="false"/>
          <w:smallCaps w:val="false"/>
          <w:strike w:val="false"/>
          <w:dstrike w:val="false"/>
          <w:color w:val="000000"/>
          <w:sz w:val="24"/>
          <w:szCs w:val="24"/>
          <w:u w:val="none"/>
          <w:effect w:val="none"/>
          <w:shd w:val="clear" w:fill="auto"/>
          <w:lang w:val="nl-NL"/>
        </w:rPr>
        <w:t xml:space="preserve">Not all international students are semester exchange students, and not every student who needs a room for a short period comes from abroad. Therefore, ensure that international students coming to the Netherlands for more than a year are immediately assigned a room for an indefinite period, and that a Dutch student going on an internship on the other side of the country can get a short-stay room.</w:t>
      </w:r>
      <w:r>
        <w:br w:type="page"/>
      </w:r>
    </w:p>
    <w:p>
      <w:pPr>
        <w:pStyle w:val="Heading2"/>
        <w:spacing w:before="0" w:after="120"/>
        <w:rPr>
          <w:color w:val="CC0814"/>
        </w:rPr>
      </w:pPr>
      <w:bookmarkStart w:name="__RefHeading___Toc825_494178889" w:id="45"/>
      <w:bookmarkEnd w:id="45"/>
      <w:r>
        <w:rPr>
          <w:color w:val="CC0814"/>
        </w:rPr>
        <w:t xml:space="preserve">The LSVb and the housing movement</w:t>
      </w:r>
    </w:p>
    <w:p>
      <w:pPr>
        <w:pStyle w:val="Heading3"/>
        <w:rPr>
          <w:sz w:val="28"/>
          <w:szCs w:val="28"/>
        </w:rPr>
      </w:pPr>
      <w:bookmarkStart w:name="__RefHeading___Toc827_494178889" w:id="46"/>
      <w:bookmarkEnd w:id="46"/>
      <w:r>
        <w:rPr>
          <w:color w:val="CC0814"/>
        </w:rPr>
        <w:t xml:space="preserve">Our role within the housing movement</w:t>
      </w:r>
    </w:p>
    <w:p>
      <w:pPr>
        <w:pStyle w:val="BodyText"/>
        <w:bidi w:val="0"/>
        <w:spacing w:before="0" w:after="0" w:line="331" w:lineRule="auto"/>
        <w:jc w:val="both"/>
        <w:rPr>
          <w:rFonts w:ascii="Carlito" w:hAnsi="Carlito"/>
          <w:sz w:val="24"/>
          <w:szCs w:val="24"/>
        </w:rPr>
      </w:pPr>
      <w:r>
        <w:rPr>
          <w:b w:val="false"/>
          <w:i w:val="false"/>
          <w:caps w:val="false"/>
          <w:smallCaps w:val="false"/>
          <w:strike w:val="false"/>
          <w:dstrike w:val="false"/>
          <w:color w:val="000000"/>
          <w:sz w:val="24"/>
          <w:szCs w:val="24"/>
          <w:u w:val="none"/>
          <w:effect w:val="none"/>
          <w:shd w:val="clear" w:fill="auto"/>
          <w:lang w:val="nl-NL"/>
        </w:rPr>
        <w:t xml:space="preserve">As the National Student Union, we advocate for students’ interests, including in areas such as housing. However, there are countless other organizations, parties, movements, and action groups that also advocate for their interests regarding housing. In this regard, we share common or overlapping interests with certain organizations, as some policy changes affect both students and other groups in the housing market. The vast majority of students living away from home are renters; therefore, we </w:t>
      </w: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often view housing justice for students as promoting tenants’ interests, provided that a particular tenant interest would harm the position of students. From this perspective, the LSVb can therefore enter into partnerships with other organizations, parties, or action groups to achieve a common goal. </w:t>
      </w:r>
    </w:p>
    <w:p>
      <w:pPr>
        <w:pStyle w:val="BodyText"/>
        <w:bidi w:val="0"/>
        <w:spacing w:before="0" w:after="0" w:line="331" w:lineRule="auto"/>
        <w:jc w:val="both"/>
        <w:rPr/>
      </w:pPr>
      <w:r>
        <w:rPr>
          <w:b w:val="false"/>
          <w:i w:val="false"/>
          <w:caps w:val="false"/>
          <w:smallCaps w:val="false"/>
          <w:strike w:val="false"/>
          <w:dstrike w:val="false"/>
          <w:color w:val="000000"/>
          <w:sz w:val="24"/>
          <w:szCs w:val="24"/>
          <w:u w:val="none"/>
          <w:effect w:val="none"/>
          <w:shd w:val="clear" w:fill="auto"/>
          <w:lang w:val="nl-NL"/>
        </w:rPr>
        <w:tab/>
      </w:r>
      <w:r>
        <w:rPr>
          <w:b w:val="false"/>
          <w:i w:val="false"/>
          <w:caps w:val="false"/>
          <w:smallCaps w:val="false"/>
          <w:strike w:val="false"/>
          <w:dstrike w:val="false"/>
          <w:color w:val="000000"/>
          <w:sz w:val="24"/>
          <w:szCs w:val="24"/>
          <w:u w:val="none"/>
          <w:effect w:val="none"/>
          <w:shd w:val="clear" w:fill="auto"/>
          <w:lang w:val="nl-NL"/>
        </w:rPr>
        <w:t xml:space="preserve">As an advocate for students within the housing movement, this may mean that we speak out in support of housing associations’ efforts to provide affordable student housing, but it may also mean that we speak out against those same housing associations when they act as poor landlords. To this end, a collaborative attitude—one that does not compromise our convictions or outspokenness—is crucial for maintaining good relationships with relevant parties and demonstrating that the LSVb is the impartial advocate for students. </w:t>
      </w:r>
    </w:p>
    <w:p>
      <w:pPr>
        <w:pStyle w:val="BodyText"/>
        <w:bidi w:val="0"/>
        <w:spacing w:before="0" w:after="283"/>
        <w:jc w:val="left"/>
        <w:rPr>
          <w:rFonts w:ascii="Carlito" w:hAnsi="Carlito"/>
          <w:sz w:val="24"/>
          <w:szCs w:val="24"/>
        </w:rPr>
      </w:pP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top="1427" w:right="1134" w:bottom="1710" w:left="1134" w:header="1134" w:footer="1134" w:gutter="0"/>
      <w:pgNumType w:fmt="decimal" w:start="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rlito">
    <w:altName w:val="Calibri"/>
    <w:charset w:val="01"/>
    <w:family w:val="swiss"/>
    <w:pitch w:val="variable"/>
  </w:font>
  <w:font w:name="Calibri">
    <w:charset w:val="01"/>
    <w:family w:val="roman"/>
    <w:pitch w:val="variable"/>
  </w:font>
  <w:font w:name="Arial">
    <w:charset w:val="01"/>
    <w:family w:val="roman"/>
    <w:pitch w:val="variable"/>
  </w:font>
  <w:font w:name="Open Sans">
    <w:charset w:val="01"/>
    <w:family w:val="roman"/>
    <w:pitch w:val="variable"/>
  </w:font>
  <w:font w:name="Tahoma">
    <w:charset w:val="01"/>
    <w:family w:val="roman"/>
    <w:pitch w:val="variable"/>
  </w:font>
  <w:font w:name="OpenSymbol">
    <w:altName w:val="Arial Unicode MS"/>
    <w:charset w:val="01"/>
    <w:family w:val="roman"/>
    <w:pitch w:val="variable"/>
  </w:font>
  <w:font w:name="Times New Roman">
    <w:charset w:val="01"/>
    <w:family w:val="roman"/>
    <w:pitch w:val="variable"/>
  </w:font>
  <w:font w:name="open sans">
    <w:charset w:val="01"/>
    <w:family w:val="roman"/>
    <w:pitch w:val="variable"/>
  </w:font>
  <w:font w:name="Arial">
    <w:altName w:val="sans-serif"/>
    <w:charset w:val="01"/>
    <w:family w:val="roman"/>
    <w:pitch w:val="variable"/>
  </w:font>
  <w:font w:name="carlito">
    <w:altName w:val="Calibri"/>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bookmarkStart w:name="PageNumWizard_FOOTER_Default_Page_Style1" w:id="47"/>
    <w:bookmarkStart w:name="PageNumWizard_FOOTER_Default_Page_Style1" w:id="48"/>
    <w:bookmarkEnd w:id="48"/>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bookmarkStart w:name="PageNumWizard_FOOTER_Default_Page_Style1" w:id="49"/>
    <w:bookmarkStart w:name="PageNumWizard_FOOTER_Default_Page_Style1" w:id="50"/>
    <w:bookmarkEnd w:id="50"/>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p>
</w:hdr>
</file>

<file path=word/header2.xml><?xml version="1.0" encoding="utf-8"?>
<w:hdr xmlns:a="http://schemas.openxmlformats.org/drawingml/2006/main"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1905635" distR="0" simplePos="0" relativeHeight="21" behindDoc="1" locked="0" layoutInCell="1" allowOverlap="1">
              <wp:simplePos x="0" y="0"/>
              <wp:positionH relativeFrom="column">
                <wp:posOffset>1905635</wp:posOffset>
              </wp:positionH>
              <wp:positionV relativeFrom="paragraph">
                <wp:posOffset>-765810</wp:posOffset>
              </wp:positionV>
              <wp:extent cx="2160270" cy="2160270"/>
              <wp:effectExtent l="1905635" t="0" r="0" b="0"/>
              <wp:wrapNone/>
              <wp:docPr id="6" name="Shape 2"/>
              <a:graphic xmlns:a="http://schemas.openxmlformats.org/drawingml/2006/main">
                <a:graphicData uri="http://schemas.microsoft.com/office/word/2010/wordprocessingShape">
                  <wps:wsp>
                    <wps:cNvSpPr/>
                    <wps:spPr>
                      <a:xfrm>
                        <a:off x="0" y="0"/>
                        <a:ext cx="2160360" cy="216036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w:r>
  </w:p>
  <w:p>
    <w:pPr>
      <w:pStyle w:val="Header"/>
      <w:bidi w:val="0"/>
      <w:rPr/>
    </w:pPr>
  </w:p>
</w:hdr>
</file>

<file path=word/header3.xml><?xml version="1.0" encoding="utf-8"?>
<w:hdr xmlns:a="http://schemas.openxmlformats.org/drawingml/2006/main"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1905635" distR="0" simplePos="0" relativeHeight="21" behindDoc="1" locked="0" layoutInCell="1" allowOverlap="1">
              <wp:simplePos x="0" y="0"/>
              <wp:positionH relativeFrom="column">
                <wp:posOffset>1905635</wp:posOffset>
              </wp:positionH>
              <wp:positionV relativeFrom="paragraph">
                <wp:posOffset>-765810</wp:posOffset>
              </wp:positionV>
              <wp:extent cx="2160270" cy="2160270"/>
              <wp:effectExtent l="1905635" t="0" r="0" b="0"/>
              <wp:wrapNone/>
              <wp:docPr id="7" name="Shape 2"/>
              <a:graphic xmlns:a="http://schemas.openxmlformats.org/drawingml/2006/main">
                <a:graphicData uri="http://schemas.microsoft.com/office/word/2010/wordprocessingShape">
                  <wps:wsp>
                    <wps:cNvSpPr/>
                    <wps:spPr>
                      <a:xfrm>
                        <a:off x="0" y="0"/>
                        <a:ext cx="2160360" cy="2160360"/>
                      </a:xfrm>
                      <a:custGeom>
                        <a:avLst/>
                        <a:gdLst/>
                        <a:ahLst/>
                        <a:rect l="0" t="0" r="r" b="b"/>
                        <a:pathLst/>
                      </a:custGeom>
                      <a:solidFill>
                        <a:srgbClr val="729fcf"/>
                      </a:solidFill>
                      <a:ln w="0">
                        <a:solidFill>
                          <a:srgbClr val="3465a4"/>
                        </a:solidFill>
                      </a:ln>
                    </wps:spPr>
                    <wps:style>
                      <a:lnRef idx="0"/>
                      <a:fillRef idx="0"/>
                      <a:effectRef idx="0"/>
                      <a:fontRef idx="minor"/>
                    </wps:style>
                    <wps:bodyPr/>
                  </wps:wsp>
                </a:graphicData>
              </a:graphic>
            </wp:anchor>
          </w:drawing>
        </mc:Choice>
        <mc:Fallback>
          <w:pict/>
        </mc:Fallback>
      </mc:AlternateContent>
    </w:r>
  </w:p>
  <w:p>
    <w:pPr>
      <w:pStyle w:val="Header"/>
      <w:bidi w:val="0"/>
      <w:rP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revisionView w:insDel="0" w:formatting="0"/>
  <w:defaultTabStop w:val="1134"/>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nl-NL"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rlito" w:hAnsi="Carlito" w:eastAsia="DejaVu Sans" w:cs="DejaVu Sans"/>
      <w:color w:val="000000"/>
      <w:kern w:val="0"/>
      <w:sz w:val="24"/>
      <w:szCs w:val="24"/>
      <w:lang w:val="nl-NL"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paragraph" w:styleId="Heading2">
    <w:name w:val="Heading 2"/>
    <w:basedOn w:val="Heading"/>
    <w:next w:val="BodyText"/>
    <w:qFormat/>
    <w:pPr>
      <w:spacing w:before="200" w:after="120"/>
      <w:outlineLvl w:val="1"/>
    </w:pPr>
    <w:rPr>
      <w:rFonts w:ascii="Carlito" w:hAnsi="Carlito" w:eastAsia="Noto Serif SC" w:cs="Noto Sans Devanagari"/>
      <w:b/>
      <w:bCs/>
      <w:sz w:val="36"/>
      <w:szCs w:val="36"/>
    </w:rPr>
  </w:style>
  <w:style w:type="paragraph" w:styleId="Heading3">
    <w:name w:val="Heading 3"/>
    <w:basedOn w:val="Heading"/>
    <w:next w:val="BodyText"/>
    <w:qFormat/>
    <w:pPr>
      <w:spacing w:before="140" w:after="120"/>
      <w:outlineLvl w:val="2"/>
    </w:pPr>
    <w:rPr>
      <w:rFonts w:ascii="Carlito" w:hAnsi="Carlito" w:eastAsia="Noto Serif SC" w:cs="Noto Sans Devanagari"/>
      <w:b/>
      <w:bCs/>
      <w:sz w:val="28"/>
      <w:szCs w:val="28"/>
    </w:rPr>
  </w:style>
  <w:style w:type="paragraph" w:styleId="Heading4">
    <w:name w:val="Heading 4"/>
    <w:basedOn w:val="Normal"/>
    <w:next w:val="Normal"/>
    <w:qFormat/>
    <w:pPr>
      <w:keepNext w:val="true"/>
      <w:keepLines/>
      <w:numPr>
        <w:ilvl w:val="0"/>
        <w:numId w:val="0"/>
      </w:numPr>
      <w:spacing w:before="200" w:after="0"/>
      <w:outlineLvl w:val="3"/>
    </w:pPr>
    <w:rPr>
      <w:rFonts w:ascii="Calibri" w:hAnsi="Calibri" w:eastAsia="DejaVu Sans" w:cs="DejaVu Sans"/>
      <w:b/>
      <w:bCs/>
      <w:iCs/>
      <w:color w:themeColor="dark1" w:themeTint="a6" w:val="595959"/>
    </w:rPr>
  </w:style>
  <w:style w:type="character" w:styleId="SubtitleChar">
    <w:name w:val="Subtitle Char"/>
    <w:basedOn w:val="DefaultParagraphFont"/>
    <w:qFormat/>
    <w:rPr>
      <w:rFonts w:ascii="Arial" w:hAnsi="Arial" w:eastAsia="Times New Roman" w:cs="Arial"/>
      <w:color w:val="C52B2F"/>
      <w:sz w:val="30"/>
      <w:szCs w:val="30"/>
      <w:lang w:eastAsia="en-NL"/>
    </w:rPr>
  </w:style>
  <w:style w:type="character" w:styleId="TitleChar">
    <w:name w:val="Title Char"/>
    <w:basedOn w:val="DefaultParagraphFont"/>
    <w:qFormat/>
    <w:rPr>
      <w:rFonts w:ascii="Arial" w:hAnsi="Arial" w:eastAsia="Times New Roman" w:cs="Arial"/>
      <w:b/>
      <w:bCs/>
      <w:color w:val="C52B2F"/>
      <w:sz w:val="72"/>
      <w:szCs w:val="72"/>
      <w:lang w:val="en-NL" w:eastAsia="en-NL"/>
    </w:rPr>
  </w:style>
  <w:style w:type="character" w:styleId="Hyperlink">
    <w:name w:val="Hyperlink"/>
    <w:basedOn w:val="DefaultParagraphFont"/>
    <w:rPr>
      <w:color w:val="0000FF"/>
      <w:u w:val="single"/>
    </w:rPr>
  </w:style>
  <w:style w:type="character" w:styleId="FooterChar">
    <w:name w:val="Footer Char"/>
    <w:basedOn w:val="DefaultParagraphFont"/>
    <w:qFormat/>
    <w:rPr>
      <w:rFonts w:ascii="Open Sans" w:hAnsi="Open Sans"/>
      <w:sz w:val="20"/>
    </w:rPr>
  </w:style>
  <w:style w:type="character" w:styleId="HeaderChar">
    <w:name w:val="Header Char"/>
    <w:basedOn w:val="DefaultParagraphFont"/>
    <w:qFormat/>
    <w:rPr>
      <w:rFonts w:ascii="Open Sans" w:hAnsi="Open Sans"/>
      <w:sz w:val="20"/>
    </w:rPr>
  </w:style>
  <w:style w:type="character" w:styleId="Strong">
    <w:name w:val="Strong"/>
    <w:basedOn w:val="DefaultParagraphFont"/>
    <w:qFormat/>
    <w:rPr>
      <w:b/>
      <w:bCs/>
    </w:rPr>
  </w:style>
  <w:style w:type="character" w:styleId="Heading4Char">
    <w:name w:val="Heading 4 Char"/>
    <w:basedOn w:val="DefaultParagraphFont"/>
    <w:qFormat/>
    <w:rPr>
      <w:rFonts w:eastAsia="DejaVu Sans" w:cs="DejaVu Sans"/>
      <w:b/>
      <w:bCs/>
      <w:iCs/>
      <w:color w:themeColor="dark1" w:themeTint="a6" w:val="595959"/>
      <w:sz w:val="20"/>
    </w:rPr>
  </w:style>
  <w:style w:type="character" w:styleId="Heading3Char">
    <w:name w:val="Heading 3 Char"/>
    <w:basedOn w:val="DefaultParagraphFont"/>
    <w:qFormat/>
    <w:rPr>
      <w:rFonts w:ascii="Open Sans" w:hAnsi="Open Sans" w:eastAsia="DejaVu Sans" w:cs="DejaVu Sans"/>
      <w:b/>
      <w:bCs/>
      <w:color w:val="C52B2F"/>
    </w:rPr>
  </w:style>
  <w:style w:type="character" w:styleId="Heading2Char">
    <w:name w:val="Heading 2 Char"/>
    <w:basedOn w:val="DefaultParagraphFont"/>
    <w:qFormat/>
    <w:rPr>
      <w:rFonts w:ascii="Open Sans" w:hAnsi="Open Sans" w:eastAsia="DejaVu Sans" w:cs="DejaVu Sans"/>
      <w:b/>
      <w:bCs/>
      <w:color w:val="C52B2F"/>
      <w:sz w:val="26"/>
      <w:szCs w:val="26"/>
    </w:rPr>
  </w:style>
  <w:style w:type="character" w:styleId="Heading1Char">
    <w:name w:val="Heading 1 Char"/>
    <w:basedOn w:val="DefaultParagraphFont"/>
    <w:qFormat/>
    <w:rPr>
      <w:rFonts w:ascii="Open Sans" w:hAnsi="Open Sans" w:eastAsia="DejaVu Sans" w:cs="DejaVu Sans"/>
      <w:b/>
      <w:bCs/>
      <w:color w:val="C52B2F"/>
      <w:sz w:val="32"/>
      <w:szCs w:val="28"/>
    </w:rPr>
  </w:style>
  <w:style w:type="character" w:styleId="DefaultParagraphFont">
    <w:name w:val="Default Paragraph Font"/>
    <w:qFormat/>
    <w:rPr/>
  </w:style>
  <w:style w:type="character" w:styleId="IndexLink">
    <w:name w:val="Index Link"/>
    <w:qFormat/>
    <w:rPr/>
  </w:style>
  <w:style w:type="character" w:styleId="Kop1Char">
    <w:name w:val="Kop 1 Char"/>
    <w:basedOn w:val="DefaultParagraphFont"/>
    <w:qFormat/>
    <w:rPr>
      <w:rFonts w:ascii="Open Sans" w:hAnsi="Open Sans" w:eastAsia="DejaVu Sans" w:cs="DejaVu Sans"/>
      <w:b/>
      <w:bCs/>
      <w:color w:val="C52B2F"/>
      <w:sz w:val="32"/>
      <w:szCs w:val="28"/>
    </w:rPr>
  </w:style>
  <w:style w:type="character" w:styleId="Kop2Char">
    <w:name w:val="Kop 2 Char"/>
    <w:basedOn w:val="DefaultParagraphFont"/>
    <w:qFormat/>
    <w:rPr>
      <w:rFonts w:ascii="Open Sans" w:hAnsi="Open Sans" w:eastAsia="DejaVu Sans" w:cs="DejaVu Sans"/>
      <w:b/>
      <w:bCs/>
      <w:color w:val="C52B2F"/>
      <w:sz w:val="26"/>
      <w:szCs w:val="26"/>
    </w:rPr>
  </w:style>
  <w:style w:type="character" w:styleId="Kop3Char">
    <w:name w:val="Kop 3 Char"/>
    <w:basedOn w:val="DefaultParagraphFont"/>
    <w:qFormat/>
    <w:rPr>
      <w:rFonts w:ascii="Open Sans" w:hAnsi="Open Sans" w:eastAsia="DejaVu Sans" w:cs="DejaVu Sans"/>
      <w:b/>
      <w:bCs/>
      <w:color w:val="C52B2F"/>
    </w:rPr>
  </w:style>
  <w:style w:type="character" w:styleId="Kop4Char">
    <w:name w:val="Kop 4 Char"/>
    <w:basedOn w:val="DefaultParagraphFont"/>
    <w:qFormat/>
    <w:rPr>
      <w:rFonts w:eastAsia="DejaVu Sans" w:cs="DejaVu Sans"/>
      <w:b/>
      <w:bCs/>
      <w:iCs/>
      <w:color w:themeColor="dark1" w:themeTint="a6" w:val="595959"/>
      <w:sz w:val="20"/>
    </w:rPr>
  </w:style>
  <w:style w:type="character" w:styleId="BallontekstChar">
    <w:name w:val="Ballontekst Char"/>
    <w:basedOn w:val="DefaultParagraphFont"/>
    <w:qFormat/>
    <w:rPr>
      <w:rFonts w:ascii="Tahoma" w:hAnsi="Tahoma" w:cs="Tahoma"/>
      <w:sz w:val="16"/>
      <w:szCs w:val="16"/>
    </w:rPr>
  </w:style>
  <w:style w:type="character" w:styleId="annotationreference">
    <w:name w:val="annotation reference"/>
    <w:basedOn w:val="DefaultParagraphFont"/>
    <w:qFormat/>
    <w:rPr>
      <w:sz w:val="16"/>
      <w:szCs w:val="16"/>
    </w:rPr>
  </w:style>
  <w:style w:type="character" w:styleId="TekstopmerkingChar">
    <w:name w:val="Tekst opmerking Char"/>
    <w:basedOn w:val="DefaultParagraphFont"/>
    <w:qFormat/>
    <w:rPr>
      <w:rFonts w:cs="Mangal"/>
      <w:sz w:val="20"/>
      <w:szCs w:val="18"/>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FollowedHyperlink">
    <w:name w:val="FollowedHyperlink"/>
    <w:rPr>
      <w:color w:val="800000"/>
      <w:u w:val="single"/>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LineNumber">
    <w:name w:val="Line Number"/>
    <w:rPr/>
  </w:style>
  <w:style w:type="character" w:styleId="OnderwerpvanopmerkingChar">
    <w:name w:val="Onderwerp van opmerking Char"/>
    <w:basedOn w:val="TekstopmerkingChar"/>
    <w:qFormat/>
    <w:rPr>
      <w:rFonts w:ascii="Open Sans" w:hAnsi="Open Sans" w:eastAsia="Arial" w:cs="Arial"/>
      <w:b/>
      <w:bCs/>
      <w:color w:val="000000"/>
      <w:sz w:val="20"/>
      <w:szCs w:val="20"/>
      <w:lang w:eastAsia="nl-NL"/>
    </w:rPr>
  </w:style>
  <w:style w:type="character" w:styleId="UnresolvedMention">
    <w:name w:val="Unresolved Mention"/>
    <w:basedOn w:val="DefaultParagraphFont"/>
    <w:qFormat/>
    <w:rPr>
      <w:color w:val="605E5C"/>
      <w:shd w:fill="E1DFDD" w:val="clear"/>
    </w:rPr>
  </w:style>
  <w:style w:type="character" w:styleId="SubtleEmphasis">
    <w:name w:val="Subtle Emphasis"/>
    <w:basedOn w:val="DefaultParagraphFont"/>
    <w:qFormat/>
    <w:rPr>
      <w:i/>
      <w:iCs/>
      <w:color w:themeColor="dark1" w:themeTint="bf" w:val="404040"/>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VoetnoottekstChar">
    <w:name w:val="Voetnoottekst Char"/>
    <w:basedOn w:val="DefaultParagraphFont"/>
    <w:qFormat/>
    <w:rPr>
      <w:rFonts w:ascii="Open Sans" w:hAnsi="Open Sans"/>
      <w:sz w:val="20"/>
      <w:szCs w:val="20"/>
    </w:rPr>
  </w:style>
  <w:style w:type="character" w:styleId="apple-converted-space">
    <w:name w:val="apple-converted-space"/>
    <w:basedOn w:val="DefaultParagraphFont"/>
    <w:qFormat/>
    <w:rPr/>
  </w:style>
  <w:style w:type="character" w:styleId="VoettekstChar">
    <w:name w:val="Voettekst Char"/>
    <w:basedOn w:val="DefaultParagraphFont"/>
    <w:qFormat/>
    <w:rPr/>
  </w:style>
  <w:style w:type="character" w:styleId="KoptekstChar">
    <w:name w:val="Koptekst Char"/>
    <w:basedOn w:val="DefaultParagraphFont"/>
    <w:qFormat/>
    <w:rPr/>
  </w:style>
  <w:style w:type="paragraph" w:styleId="Heading">
    <w:name w:val="Heading"/>
    <w:basedOn w:val="Normal"/>
    <w:next w:val="BodyText"/>
    <w:qFormat/>
    <w:pPr>
      <w:keepNext w:val="true"/>
      <w:spacing w:before="240" w:after="283"/>
    </w:pPr>
    <w:rPr>
      <w:rFonts w:ascii="Carlito" w:hAnsi="Carlito" w:eastAsia="Noto Sans SC Regular" w:cs="Noto Sans Devanagari"/>
      <w:sz w:val="28"/>
      <w:szCs w:val="28"/>
    </w:rPr>
  </w:style>
  <w:style w:type="paragraph" w:styleId="BodyText">
    <w:name w:val="Body Text"/>
    <w:basedOn w:val="Normal"/>
    <w:pPr>
      <w:spacing w:lineRule="auto" w:line="276" w:before="0" w:after="283"/>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HeaderandFooter"/>
    <w:pPr>
      <w:suppressLineNumbers/>
    </w:pPr>
    <w:rPr/>
  </w:style>
  <w:style w:type="paragraph" w:styleId="Header">
    <w:name w:val="Header"/>
    <w:basedOn w:val="HeaderandFooter"/>
    <w:pPr>
      <w:suppressLineNumbers/>
    </w:pPr>
    <w:rPr/>
  </w:style>
  <w:style w:type="paragraph" w:styleId="Subtitle">
    <w:name w:val="Subtitle"/>
    <w:basedOn w:val="Title"/>
    <w:next w:val="Normal"/>
    <w:qFormat/>
    <w:pPr/>
    <w:rPr>
      <w:b w:val="false"/>
      <w:bCs w:val="false"/>
      <w:sz w:val="30"/>
      <w:szCs w:val="30"/>
      <w:lang w:val="nl-NL"/>
    </w:rPr>
  </w:style>
  <w:style w:type="paragraph" w:styleId="Title">
    <w:name w:val="Title"/>
    <w:basedOn w:val="Normal"/>
    <w:next w:val="Normal"/>
    <w:qFormat/>
    <w:pPr>
      <w:spacing w:lineRule="auto" w:line="240" w:before="922" w:after="0"/>
      <w:ind w:left="1276" w:right="2207" w:firstLine="16"/>
      <w:jc w:val="left"/>
    </w:pPr>
    <w:rPr>
      <w:rFonts w:ascii="Arial" w:hAnsi="Arial" w:eastAsia="Times New Roman" w:cs="Arial"/>
      <w:b/>
      <w:bCs/>
      <w:color w:val="C52B2F"/>
      <w:sz w:val="72"/>
      <w:szCs w:val="72"/>
      <w:lang w:val="en-NL" w:eastAsia="en-NL"/>
    </w:rPr>
  </w:style>
  <w:style w:type="paragraph" w:styleId="NoSpacing">
    <w:name w:val="No Spacing"/>
    <w:qFormat/>
    <w:pPr>
      <w:widowControl/>
      <w:suppressAutoHyphens w:val="true"/>
      <w:bidi w:val="0"/>
      <w:spacing w:lineRule="auto" w:line="240" w:before="0" w:after="0"/>
      <w:jc w:val="both"/>
    </w:pPr>
    <w:rPr>
      <w:rFonts w:ascii="Open Sans" w:hAnsi="Open Sans" w:eastAsia="DejaVu Sans" w:cs="DejaVu Sans"/>
      <w:color w:val="000000"/>
      <w:kern w:val="0"/>
      <w:sz w:val="20"/>
      <w:szCs w:val="24"/>
      <w:lang w:val="nl-NL" w:eastAsia="zh-CN" w:bidi="hi-IN"/>
    </w:rPr>
  </w:style>
  <w:style w:type="paragraph" w:styleId="NormalWeb">
    <w:name w:val="Normal (Web)"/>
    <w:basedOn w:val="Normal"/>
    <w:qFormat/>
    <w:pPr>
      <w:spacing w:lineRule="auto" w:line="240" w:before="280" w:after="280"/>
      <w:jc w:val="left"/>
    </w:pPr>
    <w:rPr>
      <w:rFonts w:ascii="Times New Roman" w:hAnsi="Times New Roman" w:eastAsia="Times New Roman" w:cs="Times New Roman"/>
      <w:sz w:val="24"/>
      <w:szCs w:val="24"/>
      <w:lang w:eastAsia="nl-NL"/>
    </w:rPr>
  </w:style>
  <w:style w:type="paragraph" w:styleId="IndexHeading">
    <w:name w:val="Index Heading"/>
    <w:basedOn w:val="Heading"/>
    <w:pPr>
      <w:suppressLineNumbers/>
      <w:ind w:left="0" w:hanging="0"/>
    </w:pPr>
    <w:rPr>
      <w:b/>
      <w:bCs/>
      <w:sz w:val="32"/>
      <w:szCs w:val="32"/>
    </w:rPr>
  </w:style>
  <w:style w:type="paragraph" w:styleId="TOCHeading">
    <w:name w:val="TOC Heading"/>
    <w:basedOn w:val="Heading1"/>
    <w:next w:val="Normal"/>
    <w:qFormat/>
    <w:pPr>
      <w:outlineLvl w:val="9"/>
    </w:pPr>
    <w:rPr>
      <w:lang w:eastAsia="nl-NL"/>
    </w:rPr>
  </w:style>
  <w:style w:type="paragraph" w:styleId="ListParagraph">
    <w:name w:val="List Paragraph"/>
    <w:basedOn w:val="Normal"/>
    <w:qFormat/>
    <w:pPr>
      <w:spacing w:before="0" w:after="200"/>
      <w:ind w:left="720" w:right="0" w:hanging="0"/>
      <w:contextualSpacing/>
    </w:pPr>
    <w:rPr/>
  </w:style>
  <w:style w:type="paragraph" w:styleId="TOC3">
    <w:name w:val="TOC 3"/>
    <w:basedOn w:val="Normal"/>
    <w:next w:val="Normal"/>
    <w:pPr>
      <w:spacing w:before="0" w:after="100"/>
      <w:ind w:left="440" w:right="0" w:hanging="0"/>
    </w:pPr>
    <w:rPr>
      <w:rFonts w:eastAsia="DejaVu Sans"/>
      <w:lang w:eastAsia="nl-NL"/>
    </w:rPr>
  </w:style>
  <w:style w:type="paragraph" w:styleId="TOC2">
    <w:name w:val="TOC 2"/>
    <w:basedOn w:val="Normal"/>
    <w:next w:val="Normal"/>
    <w:pPr>
      <w:spacing w:before="0" w:after="100"/>
      <w:ind w:left="220" w:right="0" w:hanging="0"/>
    </w:pPr>
    <w:rPr>
      <w:rFonts w:eastAsia="DejaVu Sans"/>
      <w:lang w:eastAsia="nl-NL"/>
    </w:rPr>
  </w:style>
  <w:style w:type="paragraph" w:styleId="TOC1">
    <w:name w:val="TOC 1"/>
    <w:basedOn w:val="Normal"/>
    <w:next w:val="Normal"/>
    <w:pPr>
      <w:spacing w:before="0" w:after="100"/>
    </w:pPr>
    <w:rPr>
      <w:rFonts w:eastAsia="DejaVu Sans"/>
      <w:lang w:eastAsia="nl-NL"/>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annotationtext">
    <w:name w:val="annotation text"/>
    <w:basedOn w:val="Normal"/>
    <w:qFormat/>
    <w:pPr/>
    <w:rPr>
      <w:rFonts w:cs="Mangal"/>
      <w:sz w:val="20"/>
      <w:szCs w:val="18"/>
    </w:rPr>
  </w:style>
  <w:style w:type="paragraph" w:styleId="caption1">
    <w:name w:val="caption1"/>
    <w:basedOn w:val="Normal"/>
    <w:qFormat/>
    <w:pPr>
      <w:suppressLineNumbers/>
      <w:spacing w:before="120" w:after="120"/>
    </w:pPr>
    <w:rPr>
      <w:rFonts w:cs="Noto Sans Devanagari"/>
      <w:i/>
      <w:iCs/>
    </w:rPr>
  </w:style>
  <w:style w:type="paragraph" w:styleId="FrameContents">
    <w:name w:val="Frame Contents"/>
    <w:basedOn w:val="Normal"/>
    <w:qFormat/>
    <w:pPr/>
    <w:rPr/>
  </w:style>
  <w:style w:type="paragraph" w:styleId="annotationsubject">
    <w:name w:val="annotation subject"/>
    <w:basedOn w:val="annotationtext"/>
    <w:next w:val="annotationtext"/>
    <w:qFormat/>
    <w:pPr>
      <w:spacing w:before="0" w:after="200"/>
      <w:ind w:left="0" w:right="0" w:hanging="0"/>
      <w:jc w:val="both"/>
    </w:pPr>
    <w:rPr>
      <w:rFonts w:ascii="Open Sans" w:hAnsi="Open Sans" w:eastAsia="Calibri" w:cs="DejaVu Sans"/>
      <w:b/>
      <w:bCs/>
      <w:color w:val="auto"/>
      <w:lang w:eastAsia="en-US"/>
    </w:rPr>
  </w:style>
  <w:style w:type="paragraph" w:styleId="FootnoteText">
    <w:name w:val="Footnote Text"/>
    <w:basedOn w:val="Normal"/>
    <w:pPr>
      <w:jc w:val="both"/>
    </w:pPr>
    <w:rPr>
      <w:rFonts w:ascii="Open Sans" w:hAnsi="Open Sans" w:eastAsia="Calibri" w:cs="DejaVu Sans"/>
      <w:sz w:val="20"/>
      <w:szCs w:val="20"/>
      <w:lang w:eastAsia="en-US"/>
    </w:rPr>
  </w:style>
  <w:style w:type="paragraph" w:styleId="ListParagraph1">
    <w:name w:val="List Paragraph1"/>
    <w:basedOn w:val="Normal"/>
    <w:qFormat/>
    <w:pPr>
      <w:spacing w:lineRule="auto" w:line="276" w:before="0" w:after="200"/>
      <w:ind w:left="720" w:right="0" w:hanging="0"/>
      <w:contextualSpacing/>
      <w:jc w:val="both"/>
    </w:pPr>
    <w:rPr>
      <w:rFonts w:ascii="Calibri" w:hAnsi="Calibri"/>
      <w:sz w:val="20"/>
      <w:szCs w:val="22"/>
      <w:lang w:eastAsia="en-US"/>
    </w:rPr>
  </w:style>
  <w:style w:type="paragraph" w:styleId="TableParagraph">
    <w:name w:val="Table Paragraph"/>
    <w:basedOn w:val="Normal"/>
    <w:qFormat/>
    <w:pPr>
      <w:spacing w:lineRule="exact" w:line="286"/>
      <w:ind w:left="50" w:right="0" w:hanging="0"/>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317</TotalTime>
  <Application>Collabora_Office/23.05.19.1$Linux_X86_64 LibreOffice_project/54637a87be7f1aacde847277b90d4951f5c4b138</Application>
  <AppVersion>15.0000</AppVersion>
  <Pages>18</Pages>
  <Words>3250</Words>
  <Characters>19573</Characters>
  <CharactersWithSpaces>22785</CharactersWithSpaces>
  <Paragraphs>109</Paragraphs>
</Properties>
</file>

<file path=docProps/core.xml><?xml version="1.0" encoding="utf-8"?>
<coreProperties xmlns:dc="http://purl.org/dc/elements/1.1/" xmlns:dcterms="http://purl.org/dc/terms/" xmlns:xsi="http://www.w3.org/2001/XMLSchema-instance" xmlns="http://schemas.openxmlformats.org/package/2006/metadata/core-properties">
  <dc:creator/>
  <dc:description/>
  <dc:language>en-US</dc:language>
  <lastModifiedBy/>
  <dcterms:modified xsi:type="dcterms:W3CDTF">2026-04-30T22:32:27.0000000Z</dcterms:modified>
  <revision>98</revision>
  <dc:subject/>
  <dc:title/>
  <keywords>, docId:2CA60EF130C66BE335B0F71F9AD90ABC</keywords>
</coreProperties>
</file>

<file path=docProps/custom.xml><?xml version="1.0" encoding="utf-8"?>
<Properties xmlns="http://schemas.openxmlformats.org/officeDocument/2006/custom-properties" xmlns:vt="http://schemas.openxmlformats.org/officeDocument/2006/docPropsVTypes"/>
</file>